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44:27:060403:1007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имеющем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 Зеленая, 8а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16 января 2025 года                                 № 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струкции объ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ектов капитал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44:27:060403:1007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Зеленая, 8а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с учетом заключения о результатах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публичных слушаний, рекомендаций Комисс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редоставить разре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44:27:060403:1007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11709 квадратных метров, имеющем местоположение: Костромская область,                     город Костро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Зеленая, 8а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</w:t>
      </w:r>
      <w:r>
        <w:rPr>
          <w:rFonts w:ascii="Times New Roman" w:hAnsi="Times New Roman" w:cs="Times New Roman"/>
          <w:sz w:val="26"/>
          <w:szCs w:val="24"/>
        </w:rPr>
        <w:t xml:space="preserve">становив минимальный отступ с южной стороны земельного участка от точки А до точки Б – 1,4 м</w:t>
      </w:r>
      <w:r>
        <w:rPr>
          <w:rFonts w:ascii="Times New Roman" w:hAnsi="Times New Roman" w:cs="Times New Roman"/>
          <w:sz w:val="26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4"/>
        </w:rPr>
        <w:t xml:space="preserve">в целях реконструкции здания гаража для хранения автомобильного транспорта, согласно приложению к настоящему постановлению.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145</cp:revision>
  <dcterms:created xsi:type="dcterms:W3CDTF">2022-07-08T08:33:00Z</dcterms:created>
  <dcterms:modified xsi:type="dcterms:W3CDTF">2025-01-16T13:26:01Z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