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4"/>
        <w:ind w:left="6092" w:firstLine="0"/>
        <w:jc w:val="center"/>
        <w:spacing w:before="0" w:after="0" w:line="240" w:lineRule="auto"/>
        <w:rPr>
          <w:rFonts w:ascii="Times New Roman" w:hAnsi="Times New Roman" w:cs="Times New Roman"/>
          <w:i/>
          <w:sz w:val="26"/>
          <w:szCs w:val="31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Приложение 11</w:t>
      </w:r>
      <w:r>
        <w:rPr>
          <w:rFonts w:ascii="Times New Roman" w:hAnsi="Times New Roman" w:cs="Times New Roman"/>
          <w:i/>
          <w:sz w:val="26"/>
          <w:szCs w:val="31"/>
        </w:rPr>
      </w:r>
      <w:r>
        <w:rPr>
          <w:rFonts w:ascii="Times New Roman" w:hAnsi="Times New Roman" w:cs="Times New Roman"/>
          <w:i/>
          <w:sz w:val="26"/>
          <w:szCs w:val="31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</w:rPr>
        <w:t xml:space="preserve">к постановлению Главы</w:t>
      </w:r>
      <w:r>
        <w:rPr>
          <w:rFonts w:ascii="Times New Roman" w:hAnsi="Times New Roman" w:cs="Times New Roman"/>
          <w:bCs/>
          <w:i/>
          <w:sz w:val="26"/>
          <w:szCs w:val="26"/>
        </w:rPr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  <w:highlight w:val="none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</w:rPr>
        <w:t xml:space="preserve">города Костромы</w:t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  <w:r>
        <w:rPr>
          <w:rFonts w:ascii="Times New Roman" w:hAnsi="Times New Roman" w:cs="Times New Roman"/>
          <w:bCs/>
          <w:i/>
          <w:sz w:val="26"/>
          <w:szCs w:val="26"/>
          <w:highlight w:val="none"/>
        </w:rPr>
      </w:r>
    </w:p>
    <w:p>
      <w:pPr>
        <w:pStyle w:val="654"/>
        <w:jc w:val="center"/>
        <w:spacing w:before="0" w:after="0" w:line="240" w:lineRule="auto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31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от «23» сентября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 2026 года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№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 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7</w:t>
      </w:r>
      <w:r>
        <w:rPr>
          <w:rFonts w:ascii="Times New Roman" w:hAnsi="Times New Roman" w:cs="Times New Roman"/>
          <w:i/>
          <w:sz w:val="26"/>
          <w:szCs w:val="31"/>
          <w:highlight w:val="white"/>
          <w:shd w:val="clear" w:color="auto" w:fill="ffff00"/>
        </w:rPr>
        <w:t xml:space="preserve">5</w:t>
      </w:r>
      <w:r>
        <w:rPr>
          <w:rFonts w:ascii="Times New Roman" w:hAnsi="Times New Roman" w:cs="Times New Roman"/>
          <w:bCs/>
          <w:i/>
          <w:sz w:val="26"/>
          <w:szCs w:val="26"/>
        </w:rPr>
      </w:r>
    </w:p>
    <w:p>
      <w:pPr>
        <w:pStyle w:val="654"/>
        <w:ind w:firstLine="4820"/>
        <w:jc w:val="right"/>
        <w:rPr>
          <w:rFonts w:ascii="Times New Roman" w:hAnsi="Times New Roman" w:cs="Times New Roman"/>
          <w:bCs/>
          <w:i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i/>
          <w:sz w:val="24"/>
          <w:szCs w:val="24"/>
          <w:highlight w:val="none"/>
        </w:rPr>
      </w:r>
    </w:p>
    <w:p>
      <w:pPr>
        <w:pStyle w:val="654"/>
        <w:ind w:firstLine="4820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i/>
          <w:sz w:val="20"/>
          <w:szCs w:val="20"/>
        </w:rPr>
      </w:r>
      <w:r>
        <w:rPr>
          <w:rFonts w:ascii="Times New Roman" w:hAnsi="Times New Roman" w:cs="Times New Roman"/>
          <w:i/>
          <w:sz w:val="20"/>
          <w:szCs w:val="20"/>
        </w:rPr>
      </w:r>
    </w:p>
    <w:p>
      <w:pPr>
        <w:pStyle w:val="654"/>
        <w:ind w:firstLine="708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ОПОВЕЩЕНИЕ О НАЧАЛЕ ПУБЛИЧНЫХ СЛУШАНИЙ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09"/>
        <w:jc w:val="both"/>
        <w:widowControl/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ind w:firstLine="709"/>
        <w:jc w:val="both"/>
        <w:widowControl/>
        <w:rPr>
          <w:rFonts w:ascii="Times New Roman" w:hAnsi="Times New Roman" w:cs="Times New Roman"/>
          <w:sz w:val="26"/>
          <w:szCs w:val="26"/>
          <w:lang w:val="ru-RU" w:eastAsia="ar-SA" w:bidi="ar-SA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Глава города Костромы информирует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 назначении публичных слуш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аний              по проектам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становлений Адми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нистрации горо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да Костромы о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предоставлении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разрешений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на отклонение от предельных параметров разрешенного строительства, реконст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рукции объектов капитального строительства: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на земельном участке                       с кадастровым номеро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44:27:040626:20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, расположенном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Российская          Федерация, 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Кострома,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улица Мясницкая, 127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на земельном участке с кадастровым номеро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44:27:040209:665,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имеющем местоположение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       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улица Симановского, 25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на земель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 участке с кадастровым               номеро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44:27:080207:5,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по адресу: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Российская Федерация,               Костро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мская область,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городской округ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острома, город Кострома,       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улица Машиностроителей, 7а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предоставлении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разре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шений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на условно разреш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енный вид использования земельных участков или объектов капитального строительства: </w:t>
        <w:br/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 кадастровым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44:27:040308:46,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          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улица Юных пионеров, 26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 кадастровым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номером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44:27:070411:1294,            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улица Тополиная, 21в;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 кадастровым   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44:27:060301:3697,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территория ГСК 101,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земельный участок 107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 кадастровым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60301:3696,              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территория ГСК 101,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земельный участок 108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;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с кадастровым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номером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44:27:060301:3695,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город Кострома, территория ГСК 101, 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земельный участок 109;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ar-SA" w:bidi="ar-SA"/>
        </w:rPr>
        <w:t xml:space="preserve">с кадастровым номером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44:27:050601:3282,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расположенного по адресу: Российская Федерация,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Костромская область, городской округ город Кострома,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город Кострома, территория ГСК 68Б Оазис,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auto"/>
          <w:lang w:val="ru-RU" w:eastAsia="zh-CN" w:bidi="ar-SA"/>
        </w:rPr>
        <w:t xml:space="preserve">земельный участок 50</w:t>
      </w: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.</w:t>
      </w:r>
      <w:r>
        <w:rPr>
          <w:rFonts w:ascii="Times New Roman" w:hAnsi="Times New Roman" w:cs="Times New Roman"/>
          <w:sz w:val="26"/>
          <w:szCs w:val="26"/>
          <w:lang w:val="ru-RU" w:eastAsia="ar-SA" w:bidi="ar-SA"/>
          <w14:ligatures w14:val="none"/>
        </w:rPr>
      </w:r>
      <w:r>
        <w:rPr>
          <w:rFonts w:ascii="Times New Roman" w:hAnsi="Times New Roman" w:cs="Times New Roman"/>
          <w:sz w:val="26"/>
          <w:szCs w:val="26"/>
          <w:lang w:val="ru-RU" w:eastAsia="ar-SA" w:bidi="ar-SA"/>
          <w14:ligatures w14:val="none"/>
        </w:rPr>
      </w:r>
    </w:p>
    <w:p>
      <w:pPr>
        <w:ind w:firstLine="709"/>
        <w:jc w:val="both"/>
        <w:widowControl/>
        <w:rPr>
          <w:highlight w:val="none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 w:eastAsia="ar-SA" w:bidi="ar-SA"/>
        </w:rPr>
        <w:t xml:space="preserve">Проекты постановлений Адм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 w:eastAsia="ar-SA" w:bidi="ar-SA"/>
        </w:rPr>
        <w:t xml:space="preserve">инистрации города Костромы являются                        приложениями </w:t>
      </w:r>
      <w:r>
        <w:rPr>
          <w:rFonts w:ascii="Times New Roman" w:hAnsi="Times New Roman" w:cs="Times New Roman"/>
          <w:sz w:val="26"/>
          <w:szCs w:val="24"/>
          <w:shd w:val="clear" w:color="auto" w:fill="ffffff"/>
        </w:rPr>
        <w:t xml:space="preserve">к постановлению Главы города Костромы от 23 сентября 2026 года             № 75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ru-RU" w:eastAsia="ar-SA" w:bidi="ar-SA"/>
        </w:rPr>
        <w:t xml:space="preserve">.</w:t>
      </w:r>
      <w:r>
        <w:rPr>
          <w:highlight w:val="none"/>
          <w:shd w:val="clear" w:color="auto" w:fill="ffffff"/>
        </w:rPr>
      </w:r>
      <w:r>
        <w:rPr>
          <w:highlight w:val="none"/>
          <w:shd w:val="clear" w:color="auto" w:fill="ffffff"/>
        </w:rPr>
      </w:r>
    </w:p>
    <w:p>
      <w:pPr>
        <w:pStyle w:val="654"/>
        <w:ind w:firstLine="709"/>
        <w:jc w:val="both"/>
        <w:widowControl/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  <w:lang w:val="ru-RU"/>
        </w:rPr>
        <w:t xml:space="preserve">Собрание участников публичных слушаний состоится 13 октября 2026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 года                    с 15.00 до 16.35 часов в здании по адресу: Российская Федерация, Костромская                   область, городской округ город Кострома, город Кострома, площадь Конституции, дом 2, 3 этаж, кабинет 306.</w:t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  <w:r>
        <w:rPr>
          <w:rFonts w:ascii="Times New Roman" w:hAnsi="Times New Roman" w:cs="Times New Roman"/>
          <w:sz w:val="26"/>
          <w:szCs w:val="26"/>
          <w:shd w:val="clear" w:color="auto" w:fill="auto"/>
          <w14:ligatures w14:val="none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Организатор публичных слушаний - Комисс</w:t>
      </w:r>
      <w:r>
        <w:rPr>
          <w:rFonts w:ascii="Times New Roman" w:hAnsi="Times New Roman" w:cs="Times New Roman"/>
          <w:sz w:val="26"/>
          <w:szCs w:val="26"/>
          <w:shd w:val="clear" w:color="auto" w:fill="auto"/>
        </w:rPr>
        <w:t xml:space="preserve">ия по подготовке проекта Правил землепользования и застройки города Костромы (адрес: Российская Федерация,                Костромская область, городской округ город Кострома, город Кострома,                  площадь Конституции, дом 2, телефон (4942) 42 66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 81, электронный адрес: </w:t>
      </w:r>
      <w:hyperlink r:id="rId8" w:tooltip="mailto:SkobelkinaSS@gradkostroma.ru" w:history="1">
        <w:r>
          <w:rPr>
            <w:rStyle w:val="688"/>
            <w:rFonts w:ascii="Times New Roman" w:hAnsi="Times New Roman" w:cs="Times New Roman"/>
            <w:iCs/>
            <w:color w:val="000000"/>
            <w:sz w:val="26"/>
            <w:szCs w:val="26"/>
            <w:shd w:val="clear" w:color="auto" w:fill="auto"/>
            <w:lang w:val="en-US"/>
          </w:rPr>
          <w:t xml:space="preserve">SkobelkinaSS</w:t>
        </w:r>
        <w:r>
          <w:rPr>
            <w:rStyle w:val="688"/>
            <w:rFonts w:ascii="Times New Roman" w:hAnsi="Times New Roman" w:cs="Times New Roman"/>
            <w:iCs/>
            <w:color w:val="000000"/>
            <w:sz w:val="26"/>
            <w:szCs w:val="26"/>
            <w:shd w:val="clear" w:color="auto" w:fill="auto"/>
          </w:rPr>
          <w:t xml:space="preserve">@gradkostroma.ru</w:t>
        </w:r>
      </w:hyperlink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).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Экспозиция проектов проводится на официальном сайте Администрации                 города Костромы в информационно-телекоммуникационной сети «Интернет» по                      адресу: </w:t>
      </w:r>
      <w:hyperlink r:id="rId9" w:tooltip="https://grad.kostroma.gov.ru/" w:history="1">
        <w:r>
          <w:rPr>
            <w:rFonts w:ascii="Times New Roman" w:hAnsi="Times New Roman" w:eastAsia="Times New Roman" w:cs="Times New Roman"/>
            <w:color w:val="000000"/>
            <w:sz w:val="26"/>
            <w:szCs w:val="26"/>
            <w:shd w:val="clear" w:color="auto" w:fill="ffffff"/>
            <w:lang w:val="ru-RU" w:eastAsia="ar-SA" w:bidi="ar-SA"/>
          </w:rPr>
          <w:t xml:space="preserve">https://grad.kostroma.gov.ru</w:t>
        </w:r>
      </w:hyperlink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(раздел «Хозяйственная деятельность»/                 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          Градостроительс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тво/ публичные слушания) с 5 октября 2026 года по 13 октября              2026 года, а также в здании по адресу: Российская Федерация, Костромская область, городской округ город Кострома, город Кострома, площадь Конституции, дом 2,                 4 этаж, 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кабинет 416,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с 5 октября 2026 года по 13 октября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 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2026 года ежедн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е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вн</w:t>
      </w:r>
      <w:r>
        <w:rPr>
          <w:rFonts w:ascii="Times New Roman" w:hAnsi="Times New Roman" w:eastAsia="Times New Roman" w:cs="Times New Roman"/>
          <w:iCs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о               в будние дни с 9.00 до 13.00 и с 14.00 до 18.00 часов. Посещение экспозиции              проектов, а также консультирование проводятся во вторник и четверг 6 и 8 октября 2026 года с 16.00 до 18.00 часов, а также по телефону (4942) 42 66 81.</w:t>
      </w:r>
      <w:r/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Проекты, подлежащие рассмотрению на публичных слушаниях,                                и информационные материалы к ним (при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н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аличии) будут размещены                          на официальном сайте Администрации города Костромы в информационно-                     телекоммуникационной сети «Интернет» по адресу: https://grad.kostroma.gov.ru                  с 5 октября 2026 года. 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Участники публичных слушаний в целях идентификации представляют                   сведения о себе (фамилию, имя, отчество (при наличии), дату рождения, адрес места жительства (регистрации) - для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физических лиц; наименование, основной                              государственный регистрационный номер, место нахождения и адрес – для                      юридических лиц) с приложением документов, подтверждающих такие сведения. Участники публичных слу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шаний, являющиеся правообладателями                             соответствующих земельных участков и (или) расположенных на них объектов                     капитального строительства и (или) помещений, являющихся частью указанных                 объектов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капитального строительства, также представляют сведения соответственно о таких земельных участках, объектах капитального строительства, помещениях,                  являющихся частью указанных объектов капитального строительства, из Единого               г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осударственного реестра недвижимости и иные документы, устанавливающие или удостоверяющие их права на такие земельные участки, объекты капитального                   строительства, помещения, являющиеся частью указанных объектов капитального строительства.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Обработка персональных данных участников публичных слушаний                             осуществляется с учетом требований, установленных Федеральным законом                         от 27 июля 2006 года № 152-ФЗ «О персональных данных».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Участники публичных слушаний, представившие указанные сведения о себе, имеют право вносить предложения и замечания, касающиеся рассматриваемого               проекта: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1) в письменной форме или в форме электронного документа в адрес                       организатора публичных слушаний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с 5 октября 2026 года по 13 октября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2026 года;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2) посредством записи в книге (журнале) учета посетителей экспозиции                 проекта, подлежащего рассмотрению на публичных слушаниях, в будние дни                       </w:t>
      </w:r>
      <w:r>
        <w:rPr>
          <w:rFonts w:ascii="Times New Roman" w:hAnsi="Times New Roman" w:eastAsia="Times New Roman" w:cs="Times New Roman"/>
          <w:color w:val="000000"/>
          <w:sz w:val="26"/>
          <w:szCs w:val="26"/>
          <w:shd w:val="clear" w:color="auto" w:fill="ffffff"/>
          <w:lang w:val="ru-RU" w:eastAsia="ar-SA" w:bidi="ar-SA"/>
        </w:rPr>
        <w:t xml:space="preserve">с 5 октября 2026 года по 13 октября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 2026 года </w:t>
      </w: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с 9-00 до 13-00 и с 14-00 до 18-00 часов в здании по адресу: Российская Федерация, Костромская область, городской округ  город Кострома, город Кострома, площадь Конституции, 2, 4 этаж, кабинет 416;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rFonts w:ascii="Times New Roman" w:hAnsi="Times New Roman" w:cs="Times New Roman"/>
          <w:iCs/>
          <w:color w:val="000000"/>
          <w:sz w:val="26"/>
          <w:szCs w:val="26"/>
          <w:shd w:val="clear" w:color="auto" w:fill="auto"/>
        </w:rPr>
        <w:t xml:space="preserve">3) в устной и письменной форме в ходе проведения собрания участников              публичных слушаний.</w:t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p>
      <w:pPr>
        <w:pStyle w:val="654"/>
        <w:ind w:firstLine="709"/>
        <w:jc w:val="both"/>
        <w:widowControl/>
        <w:rPr>
          <w:sz w:val="26"/>
          <w:szCs w:val="26"/>
          <w:highlight w:val="none"/>
          <w:shd w:val="clear" w:color="auto" w:fill="auto"/>
        </w:rPr>
      </w:pP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  <w:r>
        <w:rPr>
          <w:sz w:val="26"/>
          <w:szCs w:val="26"/>
          <w:highlight w:val="none"/>
          <w:shd w:val="clear" w:color="auto" w:fill="auto"/>
        </w:rPr>
      </w:r>
    </w:p>
    <w:sectPr>
      <w:footnotePr/>
      <w:endnotePr/>
      <w:type w:val="nextPage"/>
      <w:pgSz w:w="11906" w:h="16838" w:orient="portrait"/>
      <w:pgMar w:top="567" w:right="567" w:bottom="397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Mangal">
    <w:panose1 w:val="02040503050203030202"/>
  </w:font>
  <w:font w:name="Liberation Sans">
    <w:panose1 w:val="020B0604020202020204"/>
  </w:font>
  <w:font w:name="Segoe UI">
    <w:panose1 w:val="020B0502040204020203"/>
  </w:font>
  <w:font w:name="Microsoft YaHei">
    <w:panose1 w:val="020B05030202040202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 w:default="1">
    <w:name w:val="Normal"/>
    <w:qFormat/>
    <w:pPr>
      <w:jc w:val="left"/>
      <w:spacing w:before="0" w:after="0" w:line="240" w:lineRule="auto"/>
      <w:widowControl w:val="off"/>
    </w:pPr>
    <w:rPr>
      <w:rFonts w:ascii="Arial" w:hAnsi="Arial" w:eastAsia="Times New Roman" w:cs="Arial" w:cstheme="minorBidi"/>
      <w:color w:val="auto"/>
      <w:sz w:val="18"/>
      <w:szCs w:val="18"/>
      <w:lang w:val="ru-RU" w:eastAsia="ar-SA" w:bidi="ar-SA"/>
    </w:rPr>
  </w:style>
  <w:style w:type="paragraph" w:styleId="655">
    <w:name w:val="Heading 1"/>
    <w:basedOn w:val="65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56">
    <w:name w:val="Heading 2"/>
    <w:basedOn w:val="65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57">
    <w:name w:val="Heading 3"/>
    <w:basedOn w:val="654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58">
    <w:name w:val="Heading 4"/>
    <w:basedOn w:val="65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59">
    <w:name w:val="Heading 5"/>
    <w:basedOn w:val="65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60">
    <w:name w:val="Heading 6"/>
    <w:basedOn w:val="6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61">
    <w:name w:val="Heading 7"/>
    <w:basedOn w:val="65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62">
    <w:name w:val="Heading 8"/>
    <w:basedOn w:val="654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63">
    <w:name w:val="Heading 9"/>
    <w:basedOn w:val="65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64">
    <w:name w:val="Heading 1 Char"/>
    <w:basedOn w:val="686"/>
    <w:uiPriority w:val="9"/>
    <w:qFormat/>
    <w:rPr>
      <w:rFonts w:ascii="Arial" w:hAnsi="Arial" w:eastAsia="Arial" w:cs="Arial"/>
      <w:sz w:val="40"/>
      <w:szCs w:val="40"/>
    </w:rPr>
  </w:style>
  <w:style w:type="character" w:styleId="665">
    <w:name w:val="Heading 2 Char"/>
    <w:basedOn w:val="686"/>
    <w:uiPriority w:val="9"/>
    <w:qFormat/>
    <w:rPr>
      <w:rFonts w:ascii="Arial" w:hAnsi="Arial" w:eastAsia="Arial" w:cs="Arial"/>
      <w:sz w:val="34"/>
    </w:rPr>
  </w:style>
  <w:style w:type="character" w:styleId="666">
    <w:name w:val="Heading 3 Char"/>
    <w:basedOn w:val="686"/>
    <w:uiPriority w:val="9"/>
    <w:qFormat/>
    <w:rPr>
      <w:rFonts w:ascii="Arial" w:hAnsi="Arial" w:eastAsia="Arial" w:cs="Arial"/>
      <w:sz w:val="30"/>
      <w:szCs w:val="30"/>
    </w:rPr>
  </w:style>
  <w:style w:type="character" w:styleId="667">
    <w:name w:val="Heading 4 Char"/>
    <w:basedOn w:val="686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668">
    <w:name w:val="Heading 5 Char"/>
    <w:basedOn w:val="686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69">
    <w:name w:val="Heading 6 Char"/>
    <w:basedOn w:val="686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670">
    <w:name w:val="Heading 7 Char"/>
    <w:basedOn w:val="686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671">
    <w:name w:val="Heading 8 Char"/>
    <w:basedOn w:val="686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672">
    <w:name w:val="Heading 9 Char"/>
    <w:basedOn w:val="686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673">
    <w:name w:val="Title Char"/>
    <w:basedOn w:val="686"/>
    <w:uiPriority w:val="10"/>
    <w:qFormat/>
    <w:rPr>
      <w:sz w:val="48"/>
      <w:szCs w:val="48"/>
    </w:rPr>
  </w:style>
  <w:style w:type="character" w:styleId="674">
    <w:name w:val="Subtitle Char"/>
    <w:basedOn w:val="686"/>
    <w:uiPriority w:val="11"/>
    <w:qFormat/>
    <w:rPr>
      <w:sz w:val="24"/>
      <w:szCs w:val="24"/>
    </w:rPr>
  </w:style>
  <w:style w:type="character" w:styleId="675">
    <w:name w:val="Quote Char"/>
    <w:uiPriority w:val="29"/>
    <w:qFormat/>
    <w:rPr>
      <w:i/>
    </w:rPr>
  </w:style>
  <w:style w:type="character" w:styleId="676">
    <w:name w:val="Intense Quote Char"/>
    <w:uiPriority w:val="30"/>
    <w:qFormat/>
    <w:rPr>
      <w:i/>
    </w:rPr>
  </w:style>
  <w:style w:type="character" w:styleId="677">
    <w:name w:val="Header Char"/>
    <w:basedOn w:val="686"/>
    <w:uiPriority w:val="99"/>
    <w:qFormat/>
  </w:style>
  <w:style w:type="character" w:styleId="678">
    <w:name w:val="Footer Char"/>
    <w:basedOn w:val="686"/>
    <w:uiPriority w:val="99"/>
    <w:qFormat/>
  </w:style>
  <w:style w:type="character" w:styleId="679">
    <w:name w:val="Caption Char"/>
    <w:uiPriority w:val="99"/>
    <w:qFormat/>
  </w:style>
  <w:style w:type="character" w:styleId="680">
    <w:name w:val="Footnote Text Char"/>
    <w:uiPriority w:val="99"/>
    <w:qFormat/>
    <w:rPr>
      <w:sz w:val="18"/>
    </w:rPr>
  </w:style>
  <w:style w:type="character" w:styleId="681">
    <w:name w:val="Символ сноски"/>
    <w:uiPriority w:val="99"/>
    <w:unhideWhenUsed/>
    <w:qFormat/>
    <w:rPr>
      <w:vertAlign w:val="superscript"/>
    </w:rPr>
  </w:style>
  <w:style w:type="character" w:styleId="682">
    <w:name w:val="footnote reference"/>
    <w:rPr>
      <w:vertAlign w:val="superscript"/>
    </w:rPr>
  </w:style>
  <w:style w:type="character" w:styleId="683">
    <w:name w:val="Endnote Text Char"/>
    <w:uiPriority w:val="99"/>
    <w:qFormat/>
    <w:rPr>
      <w:sz w:val="20"/>
    </w:rPr>
  </w:style>
  <w:style w:type="character" w:styleId="68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685">
    <w:name w:val="endnote reference"/>
    <w:rPr>
      <w:vertAlign w:val="superscript"/>
    </w:rPr>
  </w:style>
  <w:style w:type="character" w:styleId="686" w:default="1">
    <w:name w:val="Default Paragraph Font"/>
    <w:uiPriority w:val="1"/>
    <w:semiHidden/>
    <w:unhideWhenUsed/>
    <w:qFormat/>
  </w:style>
  <w:style w:type="character" w:styleId="687" w:customStyle="1">
    <w:name w:val="Текст выноски Знак"/>
    <w:basedOn w:val="686"/>
    <w:uiPriority w:val="99"/>
    <w:semiHidden/>
    <w:qFormat/>
    <w:rPr>
      <w:rFonts w:ascii="Segoe UI" w:hAnsi="Segoe UI" w:eastAsia="Times New Roman" w:cs="Segoe UI"/>
      <w:sz w:val="18"/>
      <w:szCs w:val="18"/>
      <w:lang w:eastAsia="ar-SA"/>
    </w:rPr>
  </w:style>
  <w:style w:type="character" w:styleId="688">
    <w:name w:val="Hyperlink"/>
    <w:basedOn w:val="686"/>
    <w:uiPriority w:val="99"/>
    <w:unhideWhenUsed/>
    <w:rPr>
      <w:color w:val="0563c1" w:themeColor="hyperlink"/>
      <w:u w:val="single"/>
    </w:rPr>
  </w:style>
  <w:style w:type="paragraph" w:styleId="689">
    <w:name w:val="Заголовок"/>
    <w:basedOn w:val="654"/>
    <w:next w:val="690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690">
    <w:name w:val="Body Text"/>
    <w:basedOn w:val="654"/>
    <w:pPr>
      <w:spacing w:before="0" w:after="140" w:line="276" w:lineRule="auto"/>
    </w:pPr>
  </w:style>
  <w:style w:type="paragraph" w:styleId="691">
    <w:name w:val="List"/>
    <w:basedOn w:val="690"/>
    <w:rPr>
      <w:rFonts w:cs="Mangal"/>
    </w:rPr>
  </w:style>
  <w:style w:type="paragraph" w:styleId="692">
    <w:name w:val="Caption"/>
    <w:basedOn w:val="654"/>
    <w:link w:val="679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693">
    <w:name w:val="Указатель"/>
    <w:basedOn w:val="654"/>
    <w:qFormat/>
    <w:pPr>
      <w:suppressLineNumbers/>
    </w:pPr>
    <w:rPr>
      <w:rFonts w:cs="Mangal"/>
    </w:rPr>
  </w:style>
  <w:style w:type="paragraph" w:styleId="694">
    <w:name w:val="List Paragraph"/>
    <w:basedOn w:val="654"/>
    <w:uiPriority w:val="34"/>
    <w:qFormat/>
    <w:pPr>
      <w:contextualSpacing/>
      <w:ind w:left="720" w:firstLine="0"/>
      <w:spacing w:before="0" w:after="0"/>
    </w:pPr>
  </w:style>
  <w:style w:type="paragraph" w:styleId="695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696">
    <w:name w:val="Title"/>
    <w:basedOn w:val="654"/>
    <w:uiPriority w:val="10"/>
    <w:qFormat/>
    <w:pPr>
      <w:contextualSpacing/>
      <w:spacing w:before="300" w:after="200"/>
    </w:pPr>
    <w:rPr>
      <w:sz w:val="48"/>
      <w:szCs w:val="48"/>
    </w:rPr>
  </w:style>
  <w:style w:type="paragraph" w:styleId="697">
    <w:name w:val="Subtitle"/>
    <w:basedOn w:val="654"/>
    <w:uiPriority w:val="11"/>
    <w:qFormat/>
    <w:pPr>
      <w:spacing w:before="200" w:after="200"/>
    </w:pPr>
    <w:rPr>
      <w:sz w:val="24"/>
      <w:szCs w:val="24"/>
    </w:rPr>
  </w:style>
  <w:style w:type="paragraph" w:styleId="698">
    <w:name w:val="Quote"/>
    <w:basedOn w:val="654"/>
    <w:uiPriority w:val="29"/>
    <w:qFormat/>
    <w:pPr>
      <w:ind w:left="720" w:right="720" w:firstLine="0"/>
    </w:pPr>
    <w:rPr>
      <w:i/>
    </w:rPr>
  </w:style>
  <w:style w:type="paragraph" w:styleId="699">
    <w:name w:val="Intense Quote"/>
    <w:basedOn w:val="654"/>
    <w:uiPriority w:val="30"/>
    <w:qFormat/>
    <w:pPr>
      <w:ind w:left="720" w:right="720" w:firstLine="0"/>
      <w:spacing w:before="0" w:after="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paragraph" w:styleId="700">
    <w:name w:val="Колонтитул"/>
    <w:basedOn w:val="654"/>
    <w:qFormat/>
  </w:style>
  <w:style w:type="paragraph" w:styleId="701">
    <w:name w:val="Header"/>
    <w:basedOn w:val="65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2">
    <w:name w:val="Footer"/>
    <w:basedOn w:val="654"/>
    <w:uiPriority w:val="99"/>
    <w:unhideWhenUsed/>
    <w:pPr>
      <w:spacing w:before="0" w:after="0" w:line="240" w:lineRule="auto"/>
      <w:tabs>
        <w:tab w:val="clear" w:pos="708" w:leader="none"/>
        <w:tab w:val="center" w:pos="7143" w:leader="none"/>
        <w:tab w:val="right" w:pos="14287" w:leader="none"/>
      </w:tabs>
    </w:pPr>
  </w:style>
  <w:style w:type="paragraph" w:styleId="703">
    <w:name w:val="footnote text"/>
    <w:basedOn w:val="654"/>
    <w:uiPriority w:val="99"/>
    <w:semiHidden/>
    <w:unhideWhenUsed/>
    <w:pPr>
      <w:spacing w:before="0" w:after="40" w:line="240" w:lineRule="auto"/>
    </w:pPr>
    <w:rPr>
      <w:sz w:val="18"/>
    </w:rPr>
  </w:style>
  <w:style w:type="paragraph" w:styleId="704">
    <w:name w:val="endnote text"/>
    <w:basedOn w:val="654"/>
    <w:uiPriority w:val="99"/>
    <w:semiHidden/>
    <w:unhideWhenUsed/>
    <w:pPr>
      <w:spacing w:before="0" w:after="0" w:line="240" w:lineRule="auto"/>
    </w:pPr>
    <w:rPr>
      <w:sz w:val="20"/>
    </w:rPr>
  </w:style>
  <w:style w:type="paragraph" w:styleId="705">
    <w:name w:val="toc 1"/>
    <w:basedOn w:val="654"/>
    <w:uiPriority w:val="39"/>
    <w:unhideWhenUsed/>
    <w:pPr>
      <w:ind w:left="0" w:right="0" w:firstLine="0"/>
      <w:spacing w:before="0" w:after="57"/>
    </w:pPr>
  </w:style>
  <w:style w:type="paragraph" w:styleId="706">
    <w:name w:val="toc 2"/>
    <w:basedOn w:val="654"/>
    <w:uiPriority w:val="39"/>
    <w:unhideWhenUsed/>
    <w:pPr>
      <w:ind w:left="283" w:right="0" w:firstLine="0"/>
      <w:spacing w:before="0" w:after="57"/>
    </w:pPr>
  </w:style>
  <w:style w:type="paragraph" w:styleId="707">
    <w:name w:val="toc 3"/>
    <w:basedOn w:val="654"/>
    <w:uiPriority w:val="39"/>
    <w:unhideWhenUsed/>
    <w:pPr>
      <w:ind w:left="567" w:right="0" w:firstLine="0"/>
      <w:spacing w:before="0" w:after="57"/>
    </w:pPr>
  </w:style>
  <w:style w:type="paragraph" w:styleId="708">
    <w:name w:val="toc 4"/>
    <w:basedOn w:val="654"/>
    <w:uiPriority w:val="39"/>
    <w:unhideWhenUsed/>
    <w:pPr>
      <w:ind w:left="850" w:right="0" w:firstLine="0"/>
      <w:spacing w:before="0" w:after="57"/>
    </w:pPr>
  </w:style>
  <w:style w:type="paragraph" w:styleId="709">
    <w:name w:val="toc 5"/>
    <w:basedOn w:val="654"/>
    <w:uiPriority w:val="39"/>
    <w:unhideWhenUsed/>
    <w:pPr>
      <w:ind w:left="1134" w:right="0" w:firstLine="0"/>
      <w:spacing w:before="0" w:after="57"/>
    </w:pPr>
  </w:style>
  <w:style w:type="paragraph" w:styleId="710">
    <w:name w:val="toc 6"/>
    <w:basedOn w:val="654"/>
    <w:uiPriority w:val="39"/>
    <w:unhideWhenUsed/>
    <w:pPr>
      <w:ind w:left="1417" w:right="0" w:firstLine="0"/>
      <w:spacing w:before="0" w:after="57"/>
    </w:pPr>
  </w:style>
  <w:style w:type="paragraph" w:styleId="711">
    <w:name w:val="toc 7"/>
    <w:basedOn w:val="654"/>
    <w:uiPriority w:val="39"/>
    <w:unhideWhenUsed/>
    <w:pPr>
      <w:ind w:left="1701" w:right="0" w:firstLine="0"/>
      <w:spacing w:before="0" w:after="57"/>
    </w:pPr>
  </w:style>
  <w:style w:type="paragraph" w:styleId="712">
    <w:name w:val="toc 8"/>
    <w:basedOn w:val="654"/>
    <w:uiPriority w:val="39"/>
    <w:unhideWhenUsed/>
    <w:pPr>
      <w:ind w:left="1984" w:right="0" w:firstLine="0"/>
      <w:spacing w:before="0" w:after="57"/>
    </w:pPr>
  </w:style>
  <w:style w:type="paragraph" w:styleId="713">
    <w:name w:val="toc 9"/>
    <w:basedOn w:val="654"/>
    <w:uiPriority w:val="39"/>
    <w:unhideWhenUsed/>
    <w:pPr>
      <w:ind w:left="2268" w:right="0" w:firstLine="0"/>
      <w:spacing w:before="0" w:after="57"/>
    </w:pPr>
  </w:style>
  <w:style w:type="paragraph" w:styleId="714">
    <w:name w:val="Index Heading"/>
    <w:basedOn w:val="689"/>
  </w:style>
  <w:style w:type="paragraph" w:styleId="715">
    <w:name w:val="TOC Heading"/>
    <w:uiPriority w:val="39"/>
    <w:unhideWhenUsed/>
    <w:qFormat/>
    <w:pPr>
      <w:jc w:val="left"/>
      <w:spacing w:before="0" w:after="0"/>
      <w:widowControl/>
    </w:pPr>
    <w:rPr>
      <w:rFonts w:ascii="Calibri" w:hAnsi="Calibri" w:eastAsia="Calibri" w:cs="Arial" w:asciiTheme="minorHAnsi" w:hAnsiTheme="minorHAnsi" w:eastAsiaTheme="minorHAnsi" w:cstheme="minorBidi"/>
      <w:color w:val="auto"/>
      <w:sz w:val="22"/>
      <w:szCs w:val="22"/>
      <w:lang w:val="ru-RU" w:eastAsia="en-US" w:bidi="ar-SA"/>
    </w:rPr>
  </w:style>
  <w:style w:type="paragraph" w:styleId="716">
    <w:name w:val="table of figures"/>
    <w:basedOn w:val="654"/>
    <w:uiPriority w:val="99"/>
    <w:unhideWhenUsed/>
    <w:qFormat/>
    <w:pPr>
      <w:spacing w:before="0" w:after="0" w:afterAutospacing="0"/>
    </w:pPr>
  </w:style>
  <w:style w:type="paragraph" w:styleId="717">
    <w:name w:val="Balloon Text"/>
    <w:basedOn w:val="654"/>
    <w:uiPriority w:val="99"/>
    <w:semiHidden/>
    <w:unhideWhenUsed/>
    <w:qFormat/>
    <w:rPr>
      <w:rFonts w:ascii="Segoe UI" w:hAnsi="Segoe UI" w:cs="Segoe UI"/>
    </w:rPr>
  </w:style>
  <w:style w:type="paragraph" w:styleId="718" w:customStyle="1">
    <w:name w:val="Решение"/>
    <w:qFormat/>
    <w:pPr>
      <w:ind w:left="0" w:right="0" w:firstLine="709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6"/>
      <w:szCs w:val="26"/>
      <w:u w:val="none"/>
      <w:vertAlign w:val="baseline"/>
      <w:lang w:val="ru-RU" w:eastAsia="ru-RU" w:bidi="ar-SA"/>
      <w14:ligatures w14:val="none"/>
    </w:rPr>
  </w:style>
  <w:style w:type="numbering" w:styleId="719" w:default="1">
    <w:name w:val="No List"/>
    <w:uiPriority w:val="99"/>
    <w:semiHidden/>
    <w:unhideWhenUsed/>
    <w:qFormat/>
  </w:style>
  <w:style w:type="table" w:styleId="720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1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22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3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</w:style>
  <w:style w:type="table" w:styleId="724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5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1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7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color w:val="404040"/>
        <w:sz w:val="22"/>
      </w:rPr>
      <w:tcPr>
        <w:shd w:val="clear" w:color="ffffff" w:fill="ddebf6" w:themeFill="accent1" w:themeFillTint="34"/>
      </w:tcPr>
    </w:tblStylePr>
    <w:tblStylePr w:type="band1Vert">
      <w:rPr>
        <w:color w:val="404040"/>
        <w:sz w:val="22"/>
      </w:rPr>
      <w:tcPr>
        <w:shd w:val="clear" w:color="ffffff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9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febf6" w:themeFill="accent1" w:themeFillTint="32"/>
      </w:tcPr>
    </w:tblStylePr>
    <w:tblStylePr w:type="band1Vert">
      <w:rPr>
        <w:color w:val="404040"/>
        <w:sz w:val="22"/>
      </w:rPr>
      <w:tcPr>
        <w:shd w:val="clear" w:color="ffffff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67a4d8" w:themeFill="accent1" w:themeFillTint="EA"/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</w:tcBorders>
      </w:tcPr>
    </w:tblStylePr>
  </w:style>
  <w:style w:type="table" w:styleId="750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</w:tcBorders>
      </w:tcPr>
    </w:tblStylePr>
  </w:style>
  <w:style w:type="table" w:styleId="751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1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 w:themeFillTint="FE"/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</w:tcBorders>
      </w:tcPr>
    </w:tblStylePr>
  </w:style>
  <w:style w:type="table" w:styleId="752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1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</w:tcBorders>
      </w:tcPr>
    </w:tblStylePr>
  </w:style>
  <w:style w:type="table" w:styleId="753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1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4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1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5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b/>
        <w:color w:val="ffffff"/>
        <w:sz w:val="22"/>
      </w:rPr>
      <w:tcPr>
        <w:shd w:val="clear" w:color="ffffff" w:fill="000000" w:themeFill="text1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4d2eb" w:themeFill="accent1" w:themeFillTint="75"/>
      </w:tcPr>
    </w:tblStylePr>
    <w:tblStylePr w:type="band1Vert">
      <w:tcPr>
        <w:shd w:val="clear" w:color="ffffff" w:fill="b4d2eb" w:themeFill="accent1" w:themeFillTint="75"/>
      </w:tcPr>
    </w:tblStylePr>
    <w:tblStylePr w:type="firstCol">
      <w:rPr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b/>
        <w:color w:val="ffffff"/>
        <w:sz w:val="22"/>
      </w:rPr>
      <w:tcPr>
        <w:shd w:val="clear" w:color="ffffff" w:fill="5b9bd5" w:themeFill="accent1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6c3a1" w:themeFill="accent2" w:themeFillTint="75"/>
      </w:tcPr>
    </w:tblStylePr>
    <w:tblStylePr w:type="band1Vert">
      <w:tcPr>
        <w:shd w:val="clear" w:color="ffffff" w:fill="f6c3a1" w:themeFill="accent2" w:themeFillTint="75"/>
      </w:tcPr>
    </w:tblStylePr>
    <w:tblStylePr w:type="firstCol">
      <w:rPr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b/>
        <w:color w:val="ffffff"/>
        <w:sz w:val="22"/>
      </w:rPr>
      <w:tcPr>
        <w:shd w:val="clear" w:color="ffffff" w:fill="ed7d31" w:themeFill="accent2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d6d6d6" w:themeFill="accent3" w:themeFillTint="75"/>
      </w:tcPr>
    </w:tblStylePr>
    <w:tblStylePr w:type="band1Vert">
      <w:tcPr>
        <w:shd w:val="clear" w:color="ffffff" w:fill="d6d6d6" w:themeFill="accent3" w:themeFillTint="75"/>
      </w:tcPr>
    </w:tblStylePr>
    <w:tblStylePr w:type="firstCol">
      <w:rPr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b/>
        <w:color w:val="ffffff"/>
        <w:sz w:val="22"/>
      </w:rPr>
      <w:tcPr>
        <w:shd w:val="clear" w:color="ffffff" w:fill="a5a5a5" w:themeFill="accent3"/>
        <w:tcBorders>
          <w:top w:val="single" w:color="000000" w:themeColor="light1" w:sz="4" w:space="0"/>
        </w:tcBorders>
      </w:tcPr>
    </w:tblStylePr>
  </w:style>
  <w:style w:type="table" w:styleId="759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fee189" w:themeFill="accent4" w:themeFillTint="75"/>
      </w:tcPr>
    </w:tblStylePr>
    <w:tblStylePr w:type="band1Vert">
      <w:tcPr>
        <w:shd w:val="clear" w:color="ffffff" w:fill="fee189" w:themeFill="accent4" w:themeFillTint="75"/>
      </w:tcPr>
    </w:tblStylePr>
    <w:tblStylePr w:type="firstCol">
      <w:rPr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b/>
        <w:color w:val="ffffff"/>
        <w:sz w:val="22"/>
      </w:rPr>
      <w:tcPr>
        <w:shd w:val="clear" w:color="ffffff" w:fill="ffc000" w:themeFill="accent4"/>
        <w:tcBorders>
          <w:top w:val="single" w:color="000000" w:themeColor="light1" w:sz="4" w:space="0"/>
        </w:tcBorders>
      </w:tcPr>
    </w:tblStylePr>
  </w:style>
  <w:style w:type="table" w:styleId="760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aabfe3" w:themeFill="accent5" w:themeFillTint="75"/>
      </w:tcPr>
    </w:tblStylePr>
    <w:tblStylePr w:type="band1Vert">
      <w:tcPr>
        <w:shd w:val="clear" w:color="ffffff" w:fill="aabfe3" w:themeFill="accent5" w:themeFillTint="75"/>
      </w:tcPr>
    </w:tblStylePr>
    <w:tblStylePr w:type="firstCol">
      <w:rPr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b/>
        <w:color w:val="ffffff"/>
        <w:sz w:val="22"/>
      </w:rPr>
      <w:tcPr>
        <w:shd w:val="clear" w:color="ffffff" w:fill="4472c4" w:themeFill="accent5"/>
        <w:tcBorders>
          <w:top w:val="single" w:color="000000" w:themeColor="light1" w:sz="4" w:space="0"/>
        </w:tcBorders>
      </w:tcPr>
    </w:tblStylePr>
  </w:style>
  <w:style w:type="table" w:styleId="761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cPr>
        <w:shd w:val="clear" w:color="ffffff" w:fill="bedba8" w:themeFill="accent6" w:themeFillTint="75"/>
      </w:tcPr>
    </w:tblStylePr>
    <w:tblStylePr w:type="band1Vert">
      <w:tcPr>
        <w:shd w:val="clear" w:color="ffffff" w:fill="bedba8" w:themeFill="accent6" w:themeFillTint="75"/>
      </w:tcPr>
    </w:tblStylePr>
    <w:tblStylePr w:type="firstCol">
      <w:rPr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b/>
        <w:color w:val="ffffff"/>
        <w:sz w:val="22"/>
      </w:rPr>
      <w:tcPr>
        <w:shd w:val="clear" w:color="ffffff" w:fill="70ad47" w:themeFill="accent6"/>
        <w:tcBorders>
          <w:top w:val="single" w:color="000000" w:themeColor="light1" w:sz="4" w:space="0"/>
        </w:tcBorders>
      </w:tcPr>
    </w:tblStylePr>
  </w:style>
  <w:style w:type="table" w:styleId="762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04040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color w:val="404040" w:themeColor="text1" w:themeTint="80" w:themeShade="95"/>
        <w:sz w:val="22"/>
      </w:rPr>
    </w:tblStylePr>
  </w:style>
  <w:style w:type="table" w:styleId="763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404040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color w:val="404040" w:themeColor="accent1" w:themeTint="80" w:themeShade="95"/>
        <w:sz w:val="22"/>
      </w:rPr>
    </w:tblStylePr>
  </w:style>
  <w:style w:type="table" w:styleId="764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color w:val="404040" w:themeColor="accent2" w:themeTint="97" w:themeShade="95"/>
        <w:sz w:val="22"/>
      </w:rPr>
    </w:tblStylePr>
  </w:style>
  <w:style w:type="table" w:styleId="765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40404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color w:val="404040" w:themeColor="accent3" w:themeTint="FE" w:themeShade="95"/>
        <w:sz w:val="22"/>
      </w:rPr>
    </w:tblStylePr>
  </w:style>
  <w:style w:type="table" w:styleId="766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color w:val="404040" w:themeColor="accent4" w:themeTint="9A" w:themeShade="95"/>
        <w:sz w:val="22"/>
      </w:rPr>
    </w:tblStylePr>
  </w:style>
  <w:style w:type="table" w:styleId="767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68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 w:themeColor="accent5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color w:val="404040" w:themeColor="accent5" w:themeShade="95"/>
        <w:sz w:val="22"/>
      </w:rPr>
    </w:tblStylePr>
  </w:style>
  <w:style w:type="table" w:styleId="769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f2f2f2" w:themeFill="text1" w:themeFillTint="00"/>
      </w:tcPr>
    </w:tblStylePr>
    <w:tblStylePr w:type="band1Vert">
      <w:tcPr>
        <w:shd w:val="clear" w:color="ffffff" w:fill="f2f2f2" w:themeFill="text1" w:themeFillTint="0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val="317bba" w:themeColor="accent1" w:themeTint="80" w:themeShade="95"/>
        <w:sz w:val="22"/>
      </w:rPr>
      <w:tcPr>
        <w:shd w:val="clear" w:color="ffffff" w:fill="ddebf6" w:themeFill="accent1" w:themeFillTint="34"/>
      </w:tcPr>
    </w:tblStylePr>
    <w:tblStylePr w:type="band1Vert">
      <w:tcPr>
        <w:shd w:val="clear" w:color="ffffff" w:fill="ddebf6" w:themeFill="accent1" w:themeFillTint="34"/>
      </w:tcPr>
    </w:tblStylePr>
    <w:tblStylePr w:type="band2Horz">
      <w:rPr>
        <w:color w:val="317bba" w:themeColor="accent1" w:themeTint="80" w:themeShade="95"/>
        <w:sz w:val="22"/>
      </w:rPr>
    </w:tblStylePr>
    <w:tblStylePr w:type="firstCol">
      <w:rPr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317bba" w:themeColor="accent1" w:themeTint="80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val="606060" w:themeColor="accent3" w:themeTint="FE" w:themeShade="95"/>
        <w:sz w:val="22"/>
      </w:rPr>
      <w:tcPr>
        <w:shd w:val="clear" w:color="ffffff" w:fill="ededed" w:themeFill="accent3" w:themeFillTint="34"/>
      </w:tcPr>
    </w:tblStylePr>
    <w:tblStylePr w:type="band1Vert">
      <w:tcPr>
        <w:shd w:val="clear" w:color="ffffff" w:fill="ededed" w:themeFill="accent3" w:themeFillTint="34"/>
      </w:tcPr>
    </w:tblStylePr>
    <w:tblStylePr w:type="band2Horz">
      <w:rPr>
        <w:color w:val="606060" w:themeColor="accent3" w:themeTint="FE" w:themeShade="95"/>
        <w:sz w:val="22"/>
      </w:rPr>
    </w:tblStylePr>
    <w:tblStylePr w:type="firstCol">
      <w:rPr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606060" w:themeColor="accent3" w:themeTint="FE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ef2cb" w:themeFill="accent4" w:themeFillTint="34"/>
      </w:tcPr>
    </w:tblStylePr>
    <w:tblStylePr w:type="band1Vert">
      <w:tcPr>
        <w:shd w:val="clear" w:color="ffffff" w:fill="fef2cb" w:themeFill="accent4" w:themeFillTint="34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val="254374" w:themeColor="accent5" w:themeShade="95"/>
        <w:sz w:val="22"/>
      </w:rPr>
      <w:tcPr>
        <w:shd w:val="clear" w:color="ffffff" w:fill="d9e2f2" w:themeFill="accent5" w:themeFillTint="34"/>
      </w:tcPr>
    </w:tblStylePr>
    <w:tblStylePr w:type="band1Vert">
      <w:tcPr>
        <w:shd w:val="clear" w:color="ffffff" w:fill="d9e2f2" w:themeFill="accent5" w:themeFillTint="34"/>
      </w:tcPr>
    </w:tblStylePr>
    <w:tblStylePr w:type="band2Horz">
      <w:rPr>
        <w:color w:val="254374" w:themeColor="accent5" w:themeShade="95"/>
        <w:sz w:val="22"/>
      </w:rPr>
    </w:tblStylePr>
    <w:tblStylePr w:type="firstCol">
      <w:rPr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254374" w:themeColor="accent5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val="426429" w:themeColor="accent6" w:themeShade="95"/>
        <w:sz w:val="22"/>
      </w:rPr>
      <w:tcPr>
        <w:shd w:val="clear" w:color="ffffff" w:fill="e2efd8" w:themeFill="accent6" w:themeFillTint="34"/>
      </w:tcPr>
    </w:tblStylePr>
    <w:tblStylePr w:type="band1Vert">
      <w:tcPr>
        <w:shd w:val="clear" w:color="ffffff" w:fill="e2efd8" w:themeFill="accent6" w:themeFillTint="34"/>
      </w:tcPr>
    </w:tblStylePr>
    <w:tblStylePr w:type="band2Horz">
      <w:rPr>
        <w:color w:val="426429" w:themeColor="accent6" w:themeShade="95"/>
        <w:sz w:val="22"/>
      </w:rPr>
    </w:tblStylePr>
    <w:tblStylePr w:type="firstCol">
      <w:rPr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26429" w:themeColor="accent6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4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5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6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7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8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89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  <w:sz w:val="22"/>
      </w:rPr>
    </w:tblStylePr>
    <w:tblStylePr w:type="fir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  <w:sz w:val="22"/>
      </w:rPr>
    </w:tblStylePr>
    <w:tblStylePr w:type="lastRow">
      <w:rPr>
        <w:b/>
        <w:color w:val="404040"/>
        <w:sz w:val="22"/>
      </w:rPr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90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color w:val="404040"/>
        <w:sz w:val="22"/>
      </w:rPr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color w:val="404040"/>
        <w:sz w:val="22"/>
      </w:rPr>
      <w:tcPr>
        <w:shd w:val="clear" w:color="ffffff" w:fill="d5e6f4" w:themeFill="accent1" w:themeFillTint="40"/>
      </w:tcPr>
    </w:tblStylePr>
    <w:tblStylePr w:type="band1Vert">
      <w:rPr>
        <w:color w:val="404040"/>
        <w:sz w:val="22"/>
      </w:rPr>
      <w:tcPr>
        <w:shd w:val="clear" w:color="ffffff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color w:val="404040"/>
        <w:sz w:val="22"/>
      </w:rPr>
      <w:tcPr>
        <w:shd w:val="clear" w:color="ffffff" w:fill="cfdcf0" w:themeFill="accent5" w:themeFillTint="40"/>
      </w:tcPr>
    </w:tblStylePr>
    <w:tblStylePr w:type="band1Vert">
      <w:rPr>
        <w:color w:val="404040"/>
        <w:sz w:val="22"/>
      </w:rPr>
      <w:tcPr>
        <w:shd w:val="clear" w:color="ffffff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color w:val="404040"/>
        <w:sz w:val="22"/>
      </w:rPr>
      <w:tcPr>
        <w:shd w:val="clear" w:color="ffffff" w:fill="dbebd0" w:themeFill="accent6" w:themeFillTint="40"/>
      </w:tcPr>
    </w:tblStylePr>
    <w:tblStylePr w:type="band1Vert">
      <w:rPr>
        <w:color w:val="404040"/>
        <w:sz w:val="22"/>
      </w:rPr>
      <w:tcPr>
        <w:shd w:val="clear" w:color="ffffff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000000" w:themeColor="tex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5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6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4b185" w:themeFill="accent2" w:themeFillTint="97"/>
        <w:tcBorders>
          <w:top w:val="single" w:color="000000" w:themeColor="accent2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7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000000" w:themeColor="accent3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8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ffd864" w:themeFill="accent4" w:themeFillTint="9A"/>
        <w:tcBorders>
          <w:top w:val="single" w:color="000000" w:themeColor="accent4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09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8eabdb" w:themeFill="accent5" w:themeFillTint="9A"/>
        <w:tcBorders>
          <w:top w:val="single" w:color="000000" w:themeColor="accent5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0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val="ffffff" w:themeColor="light1"/>
        <w:sz w:val="22"/>
      </w:rPr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val="ffffff" w:themeColor="light1"/>
        <w:sz w:val="22"/>
      </w:rPr>
      <w:tcPr>
        <w:shd w:val="clear" w:color="ffffff" w:fill="aad08f" w:themeFill="accent6" w:themeFillTint="98"/>
        <w:tcBorders>
          <w:top w:val="single" w:color="000000" w:themeColor="accent6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val="ffffff" w:themeColor="light1"/>
        <w:sz w:val="22"/>
      </w:rPr>
    </w:tblStylePr>
    <w:tblStylePr w:type="wholeTable">
      <w:rPr>
        <w:color w:val="ffffff" w:themeColor="light1"/>
        <w:sz w:val="22"/>
      </w:rPr>
    </w:tblStylePr>
  </w:style>
  <w:style w:type="table" w:styleId="811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val="40404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sz="4" w:space="0"/>
        </w:tcBorders>
      </w:tcPr>
    </w:tblStylePr>
  </w:style>
  <w:style w:type="table" w:styleId="812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val="404040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3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val="404040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sz="4" w:space="0"/>
        </w:tcBorders>
      </w:tcPr>
    </w:tblStylePr>
  </w:style>
  <w:style w:type="table" w:styleId="814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val="404040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sz="4" w:space="0"/>
        </w:tcBorders>
      </w:tcPr>
    </w:tblStylePr>
  </w:style>
  <w:style w:type="table" w:styleId="815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val="40404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sz="4" w:space="0"/>
        </w:tcBorders>
      </w:tcPr>
    </w:tblStylePr>
  </w:style>
  <w:style w:type="table" w:styleId="816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val="404040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sz="4" w:space="0"/>
        </w:tcBorders>
      </w:tcPr>
    </w:tblStylePr>
  </w:style>
  <w:style w:type="table" w:styleId="817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val="404040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sz="4" w:space="0"/>
        </w:tcBorders>
      </w:tcPr>
    </w:tblStylePr>
  </w:style>
  <w:style w:type="table" w:styleId="818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val="4a4a4a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color w:val="4a4a4a" w:themeColor="text1" w:themeTint="80" w:themeShade="95"/>
        <w:sz w:val="22"/>
      </w:rPr>
    </w:tblStylePr>
    <w:tblStylePr w:type="firstCol">
      <w:rPr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</w:tcPr>
    </w:tblStylePr>
    <w:tblStylePr w:type="fir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4a4a4a" w:themeColor="text1" w:themeTint="80" w:themeShade="95"/>
        <w:sz w:val="22"/>
      </w:rPr>
      <w:tcPr>
        <w:shd w:val="clear" w:color="ffffff" w:fill="ffffff" w:themeFill="light1"/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4a4a4a" w:themeColor="text1" w:themeTint="80" w:themeShade="95"/>
        <w:sz w:val="22"/>
      </w:rPr>
    </w:tblStylePr>
  </w:style>
  <w:style w:type="table" w:styleId="819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val="245d8d" w:themeColor="accent1" w:themeShade="95"/>
        <w:sz w:val="22"/>
      </w:rPr>
      <w:tcPr>
        <w:shd w:val="clear" w:color="ffffff" w:fill="d5e6f4" w:themeFill="accent1" w:themeFillTint="40"/>
      </w:tcPr>
    </w:tblStylePr>
    <w:tblStylePr w:type="band1Vert">
      <w:tcPr>
        <w:shd w:val="clear" w:color="ffffff" w:fill="d5e6f4" w:themeFill="accent1" w:themeFillTint="40"/>
      </w:tcPr>
    </w:tblStylePr>
    <w:tblStylePr w:type="band2Horz">
      <w:rPr>
        <w:color w:val="245d8d" w:themeColor="accent1" w:themeShade="95"/>
        <w:sz w:val="22"/>
      </w:rPr>
    </w:tblStylePr>
    <w:tblStylePr w:type="firstCol">
      <w:rPr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245d8d" w:themeColor="accent1" w:themeShade="95"/>
        <w:sz w:val="22"/>
      </w:rPr>
      <w:tcPr>
        <w:shd w:val="clear" w:color="ffffff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245d8d" w:themeColor="accent1" w:themeShade="95"/>
        <w:sz w:val="22"/>
      </w:rPr>
    </w:tblStylePr>
  </w:style>
  <w:style w:type="table" w:styleId="820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val="c95712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color w:val="c95712" w:themeColor="accent2" w:themeTint="97" w:themeShade="95"/>
        <w:sz w:val="22"/>
      </w:rPr>
    </w:tblStylePr>
    <w:tblStylePr w:type="firstCol">
      <w:rPr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</w:tcPr>
    </w:tblStylePr>
    <w:tblStylePr w:type="fir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95712" w:themeColor="accent2" w:themeTint="97" w:themeShade="95"/>
        <w:sz w:val="22"/>
      </w:rPr>
      <w:tcPr>
        <w:shd w:val="clear" w:color="ffffff" w:fill="ffffff" w:themeFill="light1"/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95712" w:themeColor="accent2" w:themeTint="97" w:themeShade="95"/>
        <w:sz w:val="22"/>
      </w:rPr>
    </w:tblStylePr>
  </w:style>
  <w:style w:type="table" w:styleId="821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val="757575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color w:val="757575" w:themeColor="accent3" w:themeTint="98" w:themeShade="95"/>
        <w:sz w:val="22"/>
      </w:rPr>
    </w:tblStylePr>
    <w:tblStylePr w:type="firstCol">
      <w:rPr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</w:tcPr>
    </w:tblStylePr>
    <w:tblStylePr w:type="fir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757575" w:themeColor="accent3" w:themeTint="98" w:themeShade="95"/>
        <w:sz w:val="22"/>
      </w:rPr>
      <w:tcPr>
        <w:shd w:val="clear" w:color="ffffff" w:fill="ffffff" w:themeFill="light1"/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757575" w:themeColor="accent3" w:themeTint="98" w:themeShade="95"/>
        <w:sz w:val="22"/>
      </w:rPr>
    </w:tblStylePr>
  </w:style>
  <w:style w:type="table" w:styleId="822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val="cd9600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color w:val="cd9600" w:themeColor="accent4" w:themeTint="9A" w:themeShade="95"/>
        <w:sz w:val="22"/>
      </w:rPr>
    </w:tblStylePr>
    <w:tblStylePr w:type="firstCol">
      <w:rPr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</w:tcPr>
    </w:tblStylePr>
    <w:tblStylePr w:type="fir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cd9600" w:themeColor="accent4" w:themeTint="9A" w:themeShade="95"/>
        <w:sz w:val="22"/>
      </w:rPr>
      <w:tcPr>
        <w:shd w:val="clear" w:color="ffffff" w:fill="ffffff" w:themeFill="light1"/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cd9600" w:themeColor="accent4" w:themeTint="9A" w:themeShade="95"/>
        <w:sz w:val="22"/>
      </w:rPr>
    </w:tblStylePr>
  </w:style>
  <w:style w:type="table" w:styleId="823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val="335e9e" w:themeColor="accent5" w:themeTint="9A" w:themeShade="95"/>
        <w:sz w:val="22"/>
      </w:rPr>
      <w:tcPr>
        <w:shd w:val="clear" w:color="ffffff" w:fill="cfdcf0" w:themeFill="accent5" w:themeFillTint="40"/>
      </w:tcPr>
    </w:tblStylePr>
    <w:tblStylePr w:type="band1Vert">
      <w:tcPr>
        <w:shd w:val="clear" w:color="ffffff" w:fill="cfdcf0" w:themeFill="accent5" w:themeFillTint="40"/>
      </w:tcPr>
    </w:tblStylePr>
    <w:tblStylePr w:type="band2Horz">
      <w:rPr>
        <w:color w:val="335e9e" w:themeColor="accent5" w:themeTint="9A" w:themeShade="95"/>
        <w:sz w:val="22"/>
      </w:rPr>
    </w:tblStylePr>
    <w:tblStylePr w:type="firstCol">
      <w:rPr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</w:tcPr>
    </w:tblStylePr>
    <w:tblStylePr w:type="fir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335e9e" w:themeColor="accent5" w:themeTint="9A" w:themeShade="95"/>
        <w:sz w:val="22"/>
      </w:rPr>
      <w:tcPr>
        <w:shd w:val="clear" w:color="ffffff" w:fill="ffffff" w:themeFill="light1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335e9e" w:themeColor="accent5" w:themeTint="9A" w:themeShade="95"/>
        <w:sz w:val="22"/>
      </w:rPr>
    </w:tblStylePr>
  </w:style>
  <w:style w:type="table" w:styleId="824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val="5f8f3c" w:themeColor="accent6" w:themeTint="98" w:themeShade="95"/>
        <w:sz w:val="22"/>
      </w:rPr>
      <w:tcPr>
        <w:shd w:val="clear" w:color="ffffff" w:fill="dbebd0" w:themeFill="accent6" w:themeFillTint="40"/>
      </w:tcPr>
    </w:tblStylePr>
    <w:tblStylePr w:type="band1Vert">
      <w:tcPr>
        <w:shd w:val="clear" w:color="ffffff" w:fill="dbebd0" w:themeFill="accent6" w:themeFillTint="40"/>
      </w:tcPr>
    </w:tblStylePr>
    <w:tblStylePr w:type="band2Horz">
      <w:rPr>
        <w:color w:val="5f8f3c" w:themeColor="accent6" w:themeTint="98" w:themeShade="95"/>
        <w:sz w:val="22"/>
      </w:rPr>
    </w:tblStylePr>
    <w:tblStylePr w:type="firstCol">
      <w:rPr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</w:tcPr>
    </w:tblStylePr>
    <w:tblStylePr w:type="fir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i/>
        <w:color w:val="5f8f3c" w:themeColor="accent6" w:themeTint="98" w:themeShade="95"/>
        <w:sz w:val="22"/>
      </w:rPr>
      <w:tcPr>
        <w:shd w:val="clear" w:color="ffffff" w:fill="ffffff" w:themeFill="light1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color w:val="5f8f3c" w:themeColor="accent6" w:themeTint="98" w:themeShade="95"/>
        <w:sz w:val="22"/>
      </w:rPr>
    </w:tblStylePr>
  </w:style>
  <w:style w:type="table" w:styleId="825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26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27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28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29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0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1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2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2f2f2" w:themeFill="text1" w:themeFillTint="00"/>
      </w:tcPr>
    </w:tblStylePr>
    <w:tblStylePr w:type="band2Vert">
      <w:rPr>
        <w:color w:val="404040"/>
        <w:sz w:val="22"/>
      </w:rPr>
      <w:tcPr>
        <w:shd w:val="clear" w:color="ffffff" w:fill="f2f2f2" w:themeFill="text1" w:themeFillTint="00"/>
      </w:tcPr>
    </w:tblStylePr>
    <w:tblStylePr w:type="fir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3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cce0f1" w:themeFill="accent1" w:themeFillTint="50"/>
      </w:tcPr>
    </w:tblStylePr>
    <w:tblStylePr w:type="band2Vert">
      <w:rPr>
        <w:color w:val="404040"/>
        <w:sz w:val="22"/>
      </w:rPr>
      <w:tcPr>
        <w:shd w:val="clear" w:color="ffffff" w:fill="cce0f1" w:themeFill="accent1" w:themeFillTint="50"/>
      </w:tcPr>
    </w:tblStylePr>
    <w:tblStylePr w:type="fir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firstRow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Col">
      <w:rPr>
        <w:color w:val="f2f2f2"/>
        <w:sz w:val="22"/>
      </w:rPr>
      <w:tcPr>
        <w:shd w:val="clear" w:color="ffffff" w:fill="67a4d8" w:themeFill="accent1" w:themeFillTint="EA"/>
      </w:tcPr>
    </w:tblStylePr>
    <w:tblStylePr w:type="lastRow">
      <w:rPr>
        <w:color w:val="f2f2f2"/>
        <w:sz w:val="22"/>
      </w:rPr>
      <w:tcPr>
        <w:shd w:val="clear" w:color="ffffff" w:fill="67a4d8" w:themeFill="accent1" w:themeFillTint="EA"/>
      </w:tcPr>
    </w:tblStylePr>
  </w:style>
  <w:style w:type="table" w:styleId="834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firstRow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Col">
      <w:rPr>
        <w:color w:val="f2f2f2"/>
        <w:sz w:val="22"/>
      </w:rPr>
      <w:tcPr>
        <w:shd w:val="clear" w:color="ffffff" w:fill="f4b185" w:themeFill="accent2" w:themeFillTint="97"/>
      </w:tcPr>
    </w:tblStylePr>
    <w:tblStylePr w:type="lastRow">
      <w:rPr>
        <w:color w:val="f2f2f2"/>
        <w:sz w:val="22"/>
      </w:rPr>
      <w:tcPr>
        <w:shd w:val="clear" w:color="ffffff" w:fill="f4b185" w:themeFill="accent2" w:themeFillTint="97"/>
      </w:tcPr>
    </w:tblStylePr>
  </w:style>
  <w:style w:type="table" w:styleId="835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deded" w:themeFill="accent3" w:themeFillTint="34"/>
      </w:tcPr>
    </w:tblStylePr>
    <w:tblStylePr w:type="band2Vert">
      <w:rPr>
        <w:color w:val="404040"/>
        <w:sz w:val="22"/>
      </w:rPr>
      <w:tcPr>
        <w:shd w:val="clear" w:color="ffffff" w:fill="ededed" w:themeFill="accent3" w:themeFillTint="34"/>
      </w:tcPr>
    </w:tblStylePr>
    <w:tblStylePr w:type="fir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36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fef2cb" w:themeFill="accent4" w:themeFillTint="34"/>
      </w:tcPr>
    </w:tblStylePr>
    <w:tblStylePr w:type="band2Vert">
      <w:rPr>
        <w:color w:val="404040"/>
        <w:sz w:val="22"/>
      </w:rPr>
      <w:tcPr>
        <w:shd w:val="clear" w:color="ffffff" w:fill="fef2cb" w:themeFill="accent4" w:themeFillTint="34"/>
      </w:tcPr>
    </w:tblStylePr>
    <w:tblStylePr w:type="fir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firstRow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Col">
      <w:rPr>
        <w:color w:val="f2f2f2"/>
        <w:sz w:val="22"/>
      </w:rPr>
      <w:tcPr>
        <w:shd w:val="clear" w:color="ffffff" w:fill="ffd864" w:themeFill="accent4" w:themeFillTint="9A"/>
      </w:tcPr>
    </w:tblStylePr>
    <w:tblStylePr w:type="lastRow">
      <w:rPr>
        <w:color w:val="f2f2f2"/>
        <w:sz w:val="22"/>
      </w:rPr>
      <w:tcPr>
        <w:shd w:val="clear" w:color="ffffff" w:fill="ffd864" w:themeFill="accent4" w:themeFillTint="9A"/>
      </w:tcPr>
    </w:tblStylePr>
  </w:style>
  <w:style w:type="table" w:styleId="837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d9e2f2" w:themeFill="accent5" w:themeFillTint="34"/>
      </w:tcPr>
    </w:tblStylePr>
    <w:tblStylePr w:type="band2Vert">
      <w:rPr>
        <w:color w:val="404040"/>
        <w:sz w:val="22"/>
      </w:rPr>
      <w:tcPr>
        <w:shd w:val="clear" w:color="ffffff" w:fill="d9e2f2" w:themeFill="accent5" w:themeFillTint="34"/>
      </w:tcPr>
    </w:tblStylePr>
    <w:tblStylePr w:type="firstCol">
      <w:rPr>
        <w:color w:val="f2f2f2"/>
        <w:sz w:val="22"/>
      </w:rPr>
      <w:tcPr>
        <w:shd w:val="clear" w:color="ffffff" w:fill="4472c4" w:themeFill="accent5"/>
      </w:tcPr>
    </w:tblStylePr>
    <w:tblStylePr w:type="firstRow">
      <w:rPr>
        <w:color w:val="f2f2f2"/>
        <w:sz w:val="22"/>
      </w:rPr>
      <w:tcPr>
        <w:shd w:val="clear" w:color="ffffff" w:fill="4472c4" w:themeFill="accent5"/>
      </w:tcPr>
    </w:tblStylePr>
    <w:tblStylePr w:type="lastCol">
      <w:rPr>
        <w:color w:val="f2f2f2"/>
        <w:sz w:val="22"/>
      </w:rPr>
      <w:tcPr>
        <w:shd w:val="clear" w:color="ffffff" w:fill="4472c4" w:themeFill="accent5"/>
      </w:tcPr>
    </w:tblStylePr>
    <w:tblStylePr w:type="lastRow">
      <w:rPr>
        <w:color w:val="f2f2f2"/>
        <w:sz w:val="22"/>
      </w:rPr>
      <w:tcPr>
        <w:shd w:val="clear" w:color="ffffff" w:fill="4472c4" w:themeFill="accent5"/>
      </w:tcPr>
    </w:tblStylePr>
  </w:style>
  <w:style w:type="table" w:styleId="838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val="404040"/>
        <w:sz w:val="22"/>
      </w:rPr>
    </w:tblStylePr>
    <w:tblStylePr w:type="band1Vert">
      <w:rPr>
        <w:color w:val="404040"/>
        <w:sz w:val="22"/>
      </w:rPr>
    </w:tblStylePr>
    <w:tblStylePr w:type="band2Horz">
      <w:rPr>
        <w:color w:val="404040"/>
        <w:sz w:val="22"/>
      </w:rPr>
      <w:tcPr>
        <w:shd w:val="clear" w:color="ffffff" w:fill="e2efd8" w:themeFill="accent6" w:themeFillTint="34"/>
      </w:tcPr>
    </w:tblStylePr>
    <w:tblStylePr w:type="band2Vert">
      <w:rPr>
        <w:color w:val="404040"/>
        <w:sz w:val="22"/>
      </w:rPr>
      <w:tcPr>
        <w:shd w:val="clear" w:color="ffffff" w:fill="e2efd8" w:themeFill="accent6" w:themeFillTint="34"/>
      </w:tcPr>
    </w:tblStylePr>
    <w:tblStylePr w:type="firstCol">
      <w:rPr>
        <w:color w:val="f2f2f2"/>
        <w:sz w:val="22"/>
      </w:rPr>
      <w:tcPr>
        <w:shd w:val="clear" w:color="ffffff" w:fill="70ad47" w:themeFill="accent6"/>
      </w:tcPr>
    </w:tblStylePr>
    <w:tblStylePr w:type="firstRow">
      <w:rPr>
        <w:color w:val="f2f2f2"/>
        <w:sz w:val="22"/>
      </w:rPr>
      <w:tcPr>
        <w:shd w:val="clear" w:color="ffffff" w:fill="70ad47" w:themeFill="accent6"/>
      </w:tcPr>
    </w:tblStylePr>
    <w:tblStylePr w:type="lastCol">
      <w:rPr>
        <w:color w:val="f2f2f2"/>
        <w:sz w:val="22"/>
      </w:rPr>
      <w:tcPr>
        <w:shd w:val="clear" w:color="ffffff" w:fill="70ad47" w:themeFill="accent6"/>
      </w:tcPr>
    </w:tblStylePr>
    <w:tblStylePr w:type="lastRow">
      <w:rPr>
        <w:color w:val="f2f2f2"/>
        <w:sz w:val="22"/>
      </w:rPr>
      <w:tcPr>
        <w:shd w:val="clear" w:color="ffffff" w:fill="70ad47" w:themeFill="accent6"/>
      </w:tcPr>
    </w:tblStylePr>
  </w:style>
  <w:style w:type="table" w:styleId="839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tex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tex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text1" w:sz="12" w:space="0"/>
        </w:tcBorders>
      </w:tcPr>
    </w:tblStylePr>
  </w:style>
  <w:style w:type="table" w:styleId="840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41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2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2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2" w:sz="12" w:space="0"/>
        </w:tcBorders>
      </w:tcPr>
    </w:tblStylePr>
  </w:style>
  <w:style w:type="table" w:styleId="842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3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3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3" w:sz="12" w:space="0"/>
        </w:tcBorders>
      </w:tcPr>
    </w:tblStylePr>
  </w:style>
  <w:style w:type="table" w:styleId="843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4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4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4" w:sz="12" w:space="0"/>
        </w:tcBorders>
      </w:tcPr>
    </w:tblStylePr>
  </w:style>
  <w:style w:type="table" w:styleId="844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5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5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5" w:sz="12" w:space="0"/>
        </w:tcBorders>
      </w:tcPr>
    </w:tblStylePr>
  </w:style>
  <w:style w:type="table" w:styleId="845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color w:val="404040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color w:val="404040"/>
        <w:sz w:val="22"/>
      </w:rPr>
    </w:tblStylePr>
    <w:tblStylePr w:type="firstRow">
      <w:rPr>
        <w:color w:val="404040"/>
        <w:sz w:val="22"/>
      </w:rPr>
      <w:tcPr>
        <w:tcBorders>
          <w:bottom w:val="single" w:color="000000" w:themeColor="accent6" w:sz="12" w:space="0"/>
        </w:tcBorders>
      </w:tcPr>
    </w:tblStylePr>
    <w:tblStylePr w:type="lastCol">
      <w:rPr>
        <w:color w:val="404040"/>
        <w:sz w:val="22"/>
      </w:rPr>
      <w:tcPr>
        <w:tcBorders>
          <w:left w:val="single" w:color="000000" w:themeColor="accent6" w:sz="12" w:space="0"/>
        </w:tcBorders>
      </w:tcPr>
    </w:tblStylePr>
    <w:tblStylePr w:type="lastRow">
      <w:rPr>
        <w:color w:val="404040"/>
        <w:sz w:val="22"/>
      </w:rPr>
      <w:tcPr>
        <w:tcBorders>
          <w:top w:val="single" w:color="000000" w:themeColor="accent6" w:sz="12" w:space="0"/>
        </w:tcBorders>
      </w:tcPr>
    </w:tblStylePr>
  </w:style>
  <w:style w:type="table" w:styleId="846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mailto:SkobelkinaSS@gradkostroma.ru" TargetMode="External"/><Relationship Id="rId9" Type="http://schemas.openxmlformats.org/officeDocument/2006/relationships/hyperlink" Target="https://grad.kostroma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Дума г. Костромы</dc:creator>
  <dc:description/>
  <dc:language>ru-RU</dc:language>
  <cp:lastModifiedBy>SkobelkinaSS</cp:lastModifiedBy>
  <cp:revision>238</cp:revision>
  <dcterms:created xsi:type="dcterms:W3CDTF">2022-07-08T08:05:00Z</dcterms:created>
  <dcterms:modified xsi:type="dcterms:W3CDTF">2026-09-24T09:00:48Z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