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4"/>
        <w:ind w:left="6092" w:firstLine="0"/>
        <w:jc w:val="center"/>
        <w:spacing w:before="0" w:after="0" w:line="240" w:lineRule="auto"/>
        <w:rPr>
          <w:rFonts w:ascii="Times New Roman" w:hAnsi="Times New Roman" w:cs="Times New Roman"/>
          <w:i/>
          <w:sz w:val="26"/>
          <w:szCs w:val="31"/>
        </w:rPr>
      </w:pPr>
      <w:r>
        <w:rPr>
          <w:rFonts w:ascii="Times New Roman" w:hAnsi="Times New Roman" w:cs="Times New Roman"/>
          <w:i/>
          <w:sz w:val="26"/>
          <w:szCs w:val="31"/>
        </w:rPr>
        <w:t xml:space="preserve">Приложение 4</w:t>
      </w:r>
      <w:r>
        <w:rPr>
          <w:rFonts w:ascii="Times New Roman" w:hAnsi="Times New Roman" w:cs="Times New Roman"/>
          <w:i/>
          <w:sz w:val="26"/>
          <w:szCs w:val="31"/>
        </w:rPr>
      </w:r>
      <w:r>
        <w:rPr>
          <w:rFonts w:ascii="Times New Roman" w:hAnsi="Times New Roman" w:cs="Times New Roman"/>
          <w:i/>
          <w:sz w:val="26"/>
          <w:szCs w:val="31"/>
        </w:rPr>
      </w:r>
    </w:p>
    <w:p>
      <w:pPr>
        <w:pStyle w:val="654"/>
        <w:jc w:val="center"/>
        <w:spacing w:before="0" w:after="0" w:line="240" w:lineRule="auto"/>
        <w:rPr>
          <w:rFonts w:ascii="Times New Roman" w:hAnsi="Times New Roman" w:cs="Times New Roman"/>
          <w:bCs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31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i/>
          <w:sz w:val="26"/>
          <w:szCs w:val="31"/>
        </w:rPr>
        <w:t xml:space="preserve">к постановлению Главы</w:t>
      </w:r>
      <w:r>
        <w:rPr>
          <w:rFonts w:ascii="Times New Roman" w:hAnsi="Times New Roman" w:cs="Times New Roman"/>
          <w:bCs/>
          <w:i/>
          <w:sz w:val="26"/>
          <w:szCs w:val="26"/>
        </w:rPr>
      </w:r>
      <w:r>
        <w:rPr>
          <w:rFonts w:ascii="Times New Roman" w:hAnsi="Times New Roman" w:cs="Times New Roman"/>
          <w:bCs/>
          <w:i/>
          <w:sz w:val="26"/>
          <w:szCs w:val="26"/>
        </w:rPr>
      </w:r>
    </w:p>
    <w:p>
      <w:pPr>
        <w:pStyle w:val="654"/>
        <w:jc w:val="center"/>
        <w:spacing w:before="0" w:after="0" w:line="240" w:lineRule="auto"/>
        <w:rPr>
          <w:rFonts w:ascii="Times New Roman" w:hAnsi="Times New Roman" w:cs="Times New Roman"/>
          <w:bCs/>
          <w:i/>
          <w:sz w:val="26"/>
          <w:szCs w:val="26"/>
          <w:highlight w:val="none"/>
        </w:rPr>
      </w:pPr>
      <w:r>
        <w:rPr>
          <w:rFonts w:ascii="Times New Roman" w:hAnsi="Times New Roman" w:cs="Times New Roman"/>
          <w:i/>
          <w:sz w:val="26"/>
          <w:szCs w:val="31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i/>
          <w:sz w:val="26"/>
          <w:szCs w:val="31"/>
        </w:rPr>
        <w:t xml:space="preserve">города Костромы</w:t>
      </w:r>
      <w:r>
        <w:rPr>
          <w:rFonts w:ascii="Times New Roman" w:hAnsi="Times New Roman" w:cs="Times New Roman"/>
          <w:bCs/>
          <w:i/>
          <w:sz w:val="26"/>
          <w:szCs w:val="26"/>
          <w:highlight w:val="none"/>
        </w:rPr>
      </w:r>
      <w:r>
        <w:rPr>
          <w:rFonts w:ascii="Times New Roman" w:hAnsi="Times New Roman" w:cs="Times New Roman"/>
          <w:bCs/>
          <w:i/>
          <w:sz w:val="26"/>
          <w:szCs w:val="26"/>
          <w:highlight w:val="none"/>
        </w:rPr>
      </w:r>
    </w:p>
    <w:p>
      <w:pPr>
        <w:pStyle w:val="654"/>
        <w:jc w:val="center"/>
        <w:spacing w:before="0" w:after="0" w:line="240" w:lineRule="auto"/>
        <w:rPr>
          <w:rFonts w:ascii="Times New Roman" w:hAnsi="Times New Roman" w:cs="Times New Roman"/>
          <w:bCs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31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i/>
          <w:sz w:val="26"/>
          <w:szCs w:val="31"/>
          <w:highlight w:val="white"/>
          <w:shd w:val="clear" w:color="auto" w:fill="ffff00"/>
        </w:rPr>
        <w:t xml:space="preserve">от «10» сентября</w:t>
      </w:r>
      <w:r>
        <w:rPr>
          <w:rFonts w:ascii="Times New Roman" w:hAnsi="Times New Roman" w:cs="Times New Roman"/>
          <w:i/>
          <w:sz w:val="26"/>
          <w:szCs w:val="31"/>
          <w:highlight w:val="white"/>
          <w:shd w:val="clear" w:color="auto" w:fill="ffff00"/>
        </w:rPr>
        <w:t xml:space="preserve"> 2026 года </w:t>
      </w:r>
      <w:r>
        <w:rPr>
          <w:rFonts w:ascii="Times New Roman" w:hAnsi="Times New Roman" w:cs="Times New Roman"/>
          <w:i/>
          <w:sz w:val="26"/>
          <w:szCs w:val="31"/>
          <w:highlight w:val="white"/>
          <w:shd w:val="clear" w:color="auto" w:fill="ffff00"/>
        </w:rPr>
        <w:t xml:space="preserve">№</w:t>
      </w:r>
      <w:r>
        <w:rPr>
          <w:rFonts w:ascii="Times New Roman" w:hAnsi="Times New Roman" w:cs="Times New Roman"/>
          <w:i/>
          <w:sz w:val="26"/>
          <w:szCs w:val="31"/>
          <w:highlight w:val="white"/>
          <w:shd w:val="clear" w:color="auto" w:fill="ffff00"/>
        </w:rPr>
        <w:t xml:space="preserve"> </w:t>
      </w:r>
      <w:r>
        <w:rPr>
          <w:rFonts w:ascii="Times New Roman" w:hAnsi="Times New Roman" w:cs="Times New Roman"/>
          <w:i/>
          <w:sz w:val="26"/>
          <w:szCs w:val="31"/>
          <w:highlight w:val="white"/>
          <w:shd w:val="clear" w:color="auto" w:fill="ffff00"/>
        </w:rPr>
        <w:t xml:space="preserve">7</w:t>
      </w:r>
      <w:r>
        <w:rPr>
          <w:rFonts w:ascii="Times New Roman" w:hAnsi="Times New Roman" w:cs="Times New Roman"/>
          <w:i/>
          <w:sz w:val="26"/>
          <w:szCs w:val="31"/>
          <w:highlight w:val="white"/>
          <w:shd w:val="clear" w:color="auto" w:fill="ffff00"/>
        </w:rPr>
        <w:t xml:space="preserve">3</w:t>
      </w:r>
      <w:r>
        <w:rPr>
          <w:rFonts w:ascii="Times New Roman" w:hAnsi="Times New Roman" w:cs="Times New Roman"/>
          <w:bCs/>
          <w:i/>
          <w:sz w:val="26"/>
          <w:szCs w:val="26"/>
        </w:rPr>
      </w:r>
    </w:p>
    <w:p>
      <w:pPr>
        <w:pStyle w:val="654"/>
        <w:ind w:firstLine="4820"/>
        <w:jc w:val="right"/>
        <w:rPr>
          <w:rFonts w:ascii="Times New Roman" w:hAnsi="Times New Roman" w:cs="Times New Roman"/>
          <w:bCs/>
          <w:i/>
          <w:sz w:val="24"/>
          <w:szCs w:val="24"/>
          <w:highlight w:val="none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</w:p>
    <w:p>
      <w:pPr>
        <w:pStyle w:val="654"/>
        <w:ind w:firstLine="4820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i/>
          <w:sz w:val="20"/>
          <w:szCs w:val="20"/>
        </w:rPr>
      </w:r>
      <w:r>
        <w:rPr>
          <w:rFonts w:ascii="Times New Roman" w:hAnsi="Times New Roman" w:cs="Times New Roman"/>
          <w:i/>
          <w:sz w:val="20"/>
          <w:szCs w:val="20"/>
        </w:rPr>
      </w:r>
    </w:p>
    <w:p>
      <w:pPr>
        <w:pStyle w:val="654"/>
        <w:ind w:firstLine="708"/>
        <w:jc w:val="center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ОПОВЕЩЕНИЕ О НАЧАЛЕ ПУБЛИЧНЫХ СЛУШАНИЙ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54"/>
        <w:ind w:firstLine="709"/>
        <w:jc w:val="both"/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</w:rPr>
      </w:r>
    </w:p>
    <w:p>
      <w:pPr>
        <w:ind w:firstLine="709"/>
        <w:jc w:val="both"/>
        <w:widowControl/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ar-SA" w:bidi="ar-SA"/>
          <w14:ligatures w14:val="none"/>
        </w:rPr>
      </w:pPr>
      <w:r>
        <w:rPr>
          <w:rFonts w:ascii="Times New Roman" w:hAnsi="Times New Roman" w:eastAsia="Times New Roman" w:cs="Times New Roman"/>
          <w:iCs/>
          <w:color w:val="000000"/>
          <w:sz w:val="26"/>
          <w:szCs w:val="26"/>
          <w:lang w:val="ru-RU" w:eastAsia="ar-SA" w:bidi="ar-SA"/>
        </w:rPr>
        <w:t xml:space="preserve">Глава города Костромы информирует </w:t>
      </w:r>
      <w:r>
        <w:rPr>
          <w:rFonts w:ascii="Times New Roman" w:hAnsi="Times New Roman" w:eastAsia="Times New Roman" w:cs="Times New Roman"/>
          <w:b w:val="0"/>
          <w:bCs w:val="0"/>
          <w:iCs/>
          <w:color w:val="000000"/>
          <w:sz w:val="26"/>
          <w:szCs w:val="26"/>
          <w:lang w:val="ru-RU" w:eastAsia="ar-SA" w:bidi="ar-SA"/>
        </w:rPr>
        <w:t xml:space="preserve">о назначении публичных слуш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ru-RU" w:eastAsia="ar-SA" w:bidi="ar-SA"/>
        </w:rPr>
        <w:t xml:space="preserve">аний              по проектам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по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становлений Адми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нистрации города Костромы о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 предоставлении              разрешений на условно разрешенный вид использования земел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ьных участков или объектов капитального строительства: с кадастровым номером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44:27:030101:5607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, имеющего местоположение: Костромская область,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город Кострома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44:27:030101:5608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, имеющего местоположение: Костромская область,                        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город Кострома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ar-SA" w:bidi="ar-SA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ar-SA" w:bidi="ar-SA"/>
          <w14:ligatures w14:val="none"/>
        </w:rPr>
      </w:r>
    </w:p>
    <w:p>
      <w:pPr>
        <w:pStyle w:val="654"/>
        <w:ind w:firstLine="709"/>
        <w:jc w:val="both"/>
        <w:widowControl/>
        <w:rPr>
          <w:highlight w:val="none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 w:eastAsia="ar-SA" w:bidi="ar-SA"/>
        </w:rPr>
        <w:t xml:space="preserve">Проекты постановлений Администрации города Костромы являются                        приложениями </w:t>
      </w:r>
      <w:r>
        <w:rPr>
          <w:rFonts w:ascii="Times New Roman" w:hAnsi="Times New Roman" w:cs="Times New Roman"/>
          <w:sz w:val="26"/>
          <w:szCs w:val="24"/>
          <w:shd w:val="clear" w:color="auto" w:fill="ffffff"/>
        </w:rPr>
        <w:t xml:space="preserve">к постановлению Главы города Костромы от 10 сентября 2026 года             № 73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 w:eastAsia="ar-SA" w:bidi="ar-SA"/>
        </w:rPr>
        <w:t xml:space="preserve">.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pStyle w:val="654"/>
        <w:ind w:firstLine="709"/>
        <w:jc w:val="both"/>
        <w:widowControl/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 xml:space="preserve">Собрание участников публичных слушаний состоится 29 сентября 2026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 года                    с 15.00 до 15.50 часов в здании по адресу: Российская Федерация, Костромская                   область, городской округ город Кострома, город Кострома, площадь Конституции, дом 2, 3 этаж, кабинет 306.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Организатор публичных слушаний - Комисс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ия по подготовке проекта Правил землепользования и застройки города Костромы (адрес: Российская Федерация,                Костромская область, городской округ город Кострома, город Кострома,                  площадь Конституции, дом 2, телефон (4942) 42 66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 81, электронный адрес: </w:t>
      </w:r>
      <w:hyperlink r:id="rId8" w:tooltip="mailto:SkobelkinaSS@gradkostroma.ru" w:history="1">
        <w:r>
          <w:rPr>
            <w:rStyle w:val="688"/>
            <w:rFonts w:ascii="Times New Roman" w:hAnsi="Times New Roman" w:cs="Times New Roman"/>
            <w:iCs/>
            <w:color w:val="000000"/>
            <w:sz w:val="26"/>
            <w:szCs w:val="26"/>
            <w:shd w:val="clear" w:color="auto" w:fill="auto"/>
            <w:lang w:val="en-US"/>
          </w:rPr>
          <w:t xml:space="preserve">SkobelkinaSS</w:t>
        </w:r>
        <w:r>
          <w:rPr>
            <w:rStyle w:val="688"/>
            <w:rFonts w:ascii="Times New Roman" w:hAnsi="Times New Roman" w:cs="Times New Roman"/>
            <w:iCs/>
            <w:color w:val="000000"/>
            <w:sz w:val="26"/>
            <w:szCs w:val="26"/>
            <w:shd w:val="clear" w:color="auto" w:fill="auto"/>
          </w:rPr>
          <w:t xml:space="preserve">@gradkostroma.ru</w:t>
        </w:r>
      </w:hyperlink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).</w:t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Экспозиция проектов проводится на официальном сайте Администрации                 города Костромы в информационно-телекоммуникационной сети «Интернет» по                      адресу: </w:t>
      </w:r>
      <w:hyperlink r:id="rId9" w:tooltip="https://grad.kostroma.gov.ru/" w:history="1">
        <w:r>
          <w:rPr>
            <w:rFonts w:ascii="Times New Roman" w:hAnsi="Times New Roman" w:eastAsia="Times New Roman" w:cs="Times New Roman"/>
            <w:color w:val="000000"/>
            <w:sz w:val="26"/>
            <w:szCs w:val="26"/>
            <w:shd w:val="clear" w:color="auto" w:fill="ffffff"/>
            <w:lang w:val="ru-RU" w:eastAsia="ar-SA" w:bidi="ar-SA"/>
          </w:rPr>
          <w:t xml:space="preserve">https://grad.kostroma.gov.ru</w:t>
        </w:r>
      </w:hyperlink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 (раздел «Хозяйственная деятельность»/                 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           Градостроительство/ публичные слушания) с 21 по 29 сентября 2026 года, а также в здании по адресу: Российская Федерация, Костромская область, городской округ                    город Кострома, город Кострома, площадь Конституции, дом 2, 4 этаж, </w:t>
      </w:r>
      <w:r>
        <w:rPr>
          <w:rFonts w:ascii="Times New Roman" w:hAnsi="Times New Roman" w:eastAsia="Times New Roman" w:cs="Times New Roman"/>
          <w:iCs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кабинет 416,   с 21 по 29 сентября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 </w:t>
      </w:r>
      <w:r>
        <w:rPr>
          <w:rFonts w:ascii="Times New Roman" w:hAnsi="Times New Roman" w:eastAsia="Times New Roman" w:cs="Times New Roman"/>
          <w:iCs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2026 года ежедн</w:t>
      </w:r>
      <w:r>
        <w:rPr>
          <w:rFonts w:ascii="Times New Roman" w:hAnsi="Times New Roman" w:eastAsia="Times New Roman" w:cs="Times New Roman"/>
          <w:iCs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е</w:t>
      </w:r>
      <w:r>
        <w:rPr>
          <w:rFonts w:ascii="Times New Roman" w:hAnsi="Times New Roman" w:eastAsia="Times New Roman" w:cs="Times New Roman"/>
          <w:iCs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вно в будние дни с 9.00 до 13.00 и с 14.00 до 18.00 часов. Посещение экспозиции проектов, а также консультирование проводятся во вторник и четверг 22 и 24 сентября 2026 года с 16.00 до 18.00 часов, а также по                       телефону (4942) 42 66 81.</w:t>
      </w:r>
      <w:r/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Проекты, подлежащие рассмотрению на публичных слушаниях,                                и информационные материалы к ним (при 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н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аличии) будут размещены                          на официальном сайте Администрации города Костромы в информационно-                     телекоммуникационной сети «Интернет» по адресу: https://grad.kostroma.gov.ru                  с 21 сентября 2026 года. </w:t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Участники публичных слушаний в целях идентификации представляют                   сведения о себе (фамилию, имя, отчество (при наличии), дату рождения, адрес места жительства (регистрации) - для 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физических лиц; наименование, основной                              государственный регистрационный номер, место нахождения и адрес – для                      юридических лиц) с приложением документов, подтверждающих такие сведения. Участники публичных слу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шаний, являющиеся правообладателями                             соответствующих земельных участков и (или) расположенных на них объектов                     капитального строительства и (или) помещений, являющихся частью указанных                 объектов 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капитального строительства, также представляют сведения соответственно о таких земельных участках, объектах капитального строительства, помещениях,                  являющихся частью указанных объектов капитального строительства, из Единого               г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осударственного реестра недвижимости и иные документы, устанавливающие или удостоверяющие их права на такие земельные участки, объекты капитального                   строительства, помещения, являющиеся частью указанных объектов капитального строительства.</w:t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Обработка персональных данных участников публичных слушаний                             осуществляется с учетом требований, установленных Федеральным законом                         от 27 июля 2006 года № 152-ФЗ «О персональных данных».</w:t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Участники публичных слушаний, представившие указанные сведения о себе, имеют право вносить предложения и замечания, касающиеся рассматриваемого               проекта:</w:t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1) в письменной форме или в форме электронного документа в адрес                       организатора публичных слушаний с 21 сентября 2026 года по 29 сентября 2026 года;</w:t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2) посредством записи в книге (журнале) учета посетителей экспозиции                 проекта, подлежащего рассмотрению на публичных слушаниях, в будние дни                       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с 21 сентября 2026 года по 29 сентября 2026 года 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с 9-00 до 13-00 и с 14-00 до 18-00 часов в здании по адресу: Российская Федерация, Костромская область, городской округ город Кострома, город Кострома, площадь Конституции, 2, 4 этаж, кабинет 416;</w:t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3) в устной и письменной форме в ходе проведения собрания участников              публичных слушаний.</w:t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sectPr>
      <w:footnotePr/>
      <w:endnotePr/>
      <w:type w:val="nextPage"/>
      <w:pgSz w:w="11906" w:h="16838" w:orient="portrait"/>
      <w:pgMar w:top="567" w:right="567" w:bottom="397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Mangal">
    <w:panose1 w:val="02040503050203030202"/>
  </w:font>
  <w:font w:name="Liberation Sans">
    <w:panose1 w:val="020B0604020202020204"/>
  </w:font>
  <w:font w:name="Segoe UI">
    <w:panose1 w:val="020B0502040204020203"/>
  </w:font>
  <w:font w:name="Microsoft YaHei">
    <w:panose1 w:val="020B0503020204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 w:default="1">
    <w:name w:val="Normal"/>
    <w:qFormat/>
    <w:pPr>
      <w:jc w:val="left"/>
      <w:spacing w:before="0" w:after="0" w:line="240" w:lineRule="auto"/>
      <w:widowControl w:val="off"/>
    </w:pPr>
    <w:rPr>
      <w:rFonts w:ascii="Arial" w:hAnsi="Arial" w:eastAsia="Times New Roman" w:cs="Arial" w:cstheme="minorBidi"/>
      <w:color w:val="auto"/>
      <w:sz w:val="18"/>
      <w:szCs w:val="18"/>
      <w:lang w:val="ru-RU" w:eastAsia="ar-SA" w:bidi="ar-SA"/>
    </w:rPr>
  </w:style>
  <w:style w:type="paragraph" w:styleId="655">
    <w:name w:val="Heading 1"/>
    <w:basedOn w:val="65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56">
    <w:name w:val="Heading 2"/>
    <w:basedOn w:val="65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57">
    <w:name w:val="Heading 3"/>
    <w:basedOn w:val="65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58">
    <w:name w:val="Heading 4"/>
    <w:basedOn w:val="65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9">
    <w:name w:val="Heading 5"/>
    <w:basedOn w:val="65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0">
    <w:name w:val="Heading 6"/>
    <w:basedOn w:val="65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1">
    <w:name w:val="Heading 7"/>
    <w:basedOn w:val="65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2">
    <w:name w:val="Heading 8"/>
    <w:basedOn w:val="65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3">
    <w:name w:val="Heading 9"/>
    <w:basedOn w:val="65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4">
    <w:name w:val="Heading 1 Char"/>
    <w:basedOn w:val="686"/>
    <w:uiPriority w:val="9"/>
    <w:qFormat/>
    <w:rPr>
      <w:rFonts w:ascii="Arial" w:hAnsi="Arial" w:eastAsia="Arial" w:cs="Arial"/>
      <w:sz w:val="40"/>
      <w:szCs w:val="40"/>
    </w:rPr>
  </w:style>
  <w:style w:type="character" w:styleId="665">
    <w:name w:val="Heading 2 Char"/>
    <w:basedOn w:val="686"/>
    <w:uiPriority w:val="9"/>
    <w:qFormat/>
    <w:rPr>
      <w:rFonts w:ascii="Arial" w:hAnsi="Arial" w:eastAsia="Arial" w:cs="Arial"/>
      <w:sz w:val="34"/>
    </w:rPr>
  </w:style>
  <w:style w:type="character" w:styleId="666">
    <w:name w:val="Heading 3 Char"/>
    <w:basedOn w:val="686"/>
    <w:uiPriority w:val="9"/>
    <w:qFormat/>
    <w:rPr>
      <w:rFonts w:ascii="Arial" w:hAnsi="Arial" w:eastAsia="Arial" w:cs="Arial"/>
      <w:sz w:val="30"/>
      <w:szCs w:val="30"/>
    </w:rPr>
  </w:style>
  <w:style w:type="character" w:styleId="667">
    <w:name w:val="Heading 4 Char"/>
    <w:basedOn w:val="686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68">
    <w:name w:val="Heading 5 Char"/>
    <w:basedOn w:val="686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69">
    <w:name w:val="Heading 6 Char"/>
    <w:basedOn w:val="68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70">
    <w:name w:val="Heading 7 Char"/>
    <w:basedOn w:val="686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8 Char"/>
    <w:basedOn w:val="686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72">
    <w:name w:val="Heading 9 Char"/>
    <w:basedOn w:val="686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73">
    <w:name w:val="Title Char"/>
    <w:basedOn w:val="686"/>
    <w:uiPriority w:val="10"/>
    <w:qFormat/>
    <w:rPr>
      <w:sz w:val="48"/>
      <w:szCs w:val="48"/>
    </w:rPr>
  </w:style>
  <w:style w:type="character" w:styleId="674">
    <w:name w:val="Subtitle Char"/>
    <w:basedOn w:val="686"/>
    <w:uiPriority w:val="11"/>
    <w:qFormat/>
    <w:rPr>
      <w:sz w:val="24"/>
      <w:szCs w:val="24"/>
    </w:rPr>
  </w:style>
  <w:style w:type="character" w:styleId="675">
    <w:name w:val="Quote Char"/>
    <w:uiPriority w:val="29"/>
    <w:qFormat/>
    <w:rPr>
      <w:i/>
    </w:rPr>
  </w:style>
  <w:style w:type="character" w:styleId="676">
    <w:name w:val="Intense Quote Char"/>
    <w:uiPriority w:val="30"/>
    <w:qFormat/>
    <w:rPr>
      <w:i/>
    </w:rPr>
  </w:style>
  <w:style w:type="character" w:styleId="677">
    <w:name w:val="Header Char"/>
    <w:basedOn w:val="686"/>
    <w:uiPriority w:val="99"/>
    <w:qFormat/>
  </w:style>
  <w:style w:type="character" w:styleId="678">
    <w:name w:val="Footer Char"/>
    <w:basedOn w:val="686"/>
    <w:uiPriority w:val="99"/>
    <w:qFormat/>
  </w:style>
  <w:style w:type="character" w:styleId="679">
    <w:name w:val="Caption Char"/>
    <w:uiPriority w:val="99"/>
    <w:qFormat/>
  </w:style>
  <w:style w:type="character" w:styleId="680">
    <w:name w:val="Footnote Text Char"/>
    <w:uiPriority w:val="99"/>
    <w:qFormat/>
    <w:rPr>
      <w:sz w:val="18"/>
    </w:rPr>
  </w:style>
  <w:style w:type="character" w:styleId="681">
    <w:name w:val="Символ сноски"/>
    <w:uiPriority w:val="99"/>
    <w:unhideWhenUsed/>
    <w:qFormat/>
    <w:rPr>
      <w:vertAlign w:val="superscript"/>
    </w:rPr>
  </w:style>
  <w:style w:type="character" w:styleId="682">
    <w:name w:val="footnote reference"/>
    <w:rPr>
      <w:vertAlign w:val="superscript"/>
    </w:rPr>
  </w:style>
  <w:style w:type="character" w:styleId="683">
    <w:name w:val="Endnote Text Char"/>
    <w:uiPriority w:val="99"/>
    <w:qFormat/>
    <w:rPr>
      <w:sz w:val="20"/>
    </w:rPr>
  </w:style>
  <w:style w:type="character" w:styleId="684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85">
    <w:name w:val="endnote reference"/>
    <w:rPr>
      <w:vertAlign w:val="superscript"/>
    </w:rPr>
  </w:style>
  <w:style w:type="character" w:styleId="686" w:default="1">
    <w:name w:val="Default Paragraph Font"/>
    <w:uiPriority w:val="1"/>
    <w:semiHidden/>
    <w:unhideWhenUsed/>
    <w:qFormat/>
  </w:style>
  <w:style w:type="character" w:styleId="687" w:customStyle="1">
    <w:name w:val="Текст выноски Знак"/>
    <w:basedOn w:val="686"/>
    <w:uiPriority w:val="99"/>
    <w:semiHidden/>
    <w:qFormat/>
    <w:rPr>
      <w:rFonts w:ascii="Segoe UI" w:hAnsi="Segoe UI" w:eastAsia="Times New Roman" w:cs="Segoe UI"/>
      <w:sz w:val="18"/>
      <w:szCs w:val="18"/>
      <w:lang w:eastAsia="ar-SA"/>
    </w:rPr>
  </w:style>
  <w:style w:type="character" w:styleId="688">
    <w:name w:val="Hyperlink"/>
    <w:basedOn w:val="686"/>
    <w:uiPriority w:val="99"/>
    <w:unhideWhenUsed/>
    <w:rPr>
      <w:color w:val="0563c1" w:themeColor="hyperlink"/>
      <w:u w:val="single"/>
    </w:rPr>
  </w:style>
  <w:style w:type="paragraph" w:styleId="689">
    <w:name w:val="Заголовок"/>
    <w:basedOn w:val="654"/>
    <w:next w:val="690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690">
    <w:name w:val="Body Text"/>
    <w:basedOn w:val="654"/>
    <w:pPr>
      <w:spacing w:before="0" w:after="140" w:line="276" w:lineRule="auto"/>
    </w:pPr>
  </w:style>
  <w:style w:type="paragraph" w:styleId="691">
    <w:name w:val="List"/>
    <w:basedOn w:val="690"/>
    <w:rPr>
      <w:rFonts w:cs="Mangal"/>
    </w:rPr>
  </w:style>
  <w:style w:type="paragraph" w:styleId="692">
    <w:name w:val="Caption"/>
    <w:basedOn w:val="654"/>
    <w:link w:val="679"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693">
    <w:name w:val="Указатель"/>
    <w:basedOn w:val="654"/>
    <w:qFormat/>
    <w:pPr>
      <w:suppressLineNumbers/>
    </w:pPr>
    <w:rPr>
      <w:rFonts w:cs="Mangal"/>
    </w:rPr>
  </w:style>
  <w:style w:type="paragraph" w:styleId="694">
    <w:name w:val="List Paragraph"/>
    <w:basedOn w:val="654"/>
    <w:uiPriority w:val="34"/>
    <w:qFormat/>
    <w:pPr>
      <w:contextualSpacing/>
      <w:ind w:left="720" w:firstLine="0"/>
      <w:spacing w:before="0" w:after="0"/>
    </w:pPr>
  </w:style>
  <w:style w:type="paragraph" w:styleId="695">
    <w:name w:val="No Spacing"/>
    <w:uiPriority w:val="1"/>
    <w:qFormat/>
    <w:pPr>
      <w:jc w:val="left"/>
      <w:spacing w:before="0" w:after="0" w:line="240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96">
    <w:name w:val="Title"/>
    <w:basedOn w:val="65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697">
    <w:name w:val="Subtitle"/>
    <w:basedOn w:val="654"/>
    <w:uiPriority w:val="11"/>
    <w:qFormat/>
    <w:pPr>
      <w:spacing w:before="200" w:after="200"/>
    </w:pPr>
    <w:rPr>
      <w:sz w:val="24"/>
      <w:szCs w:val="24"/>
    </w:rPr>
  </w:style>
  <w:style w:type="paragraph" w:styleId="698">
    <w:name w:val="Quote"/>
    <w:basedOn w:val="654"/>
    <w:uiPriority w:val="29"/>
    <w:qFormat/>
    <w:pPr>
      <w:ind w:left="720" w:right="720" w:firstLine="0"/>
    </w:pPr>
    <w:rPr>
      <w:i/>
    </w:rPr>
  </w:style>
  <w:style w:type="paragraph" w:styleId="699">
    <w:name w:val="Intense Quote"/>
    <w:basedOn w:val="654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00">
    <w:name w:val="Колонтитул"/>
    <w:basedOn w:val="654"/>
    <w:qFormat/>
  </w:style>
  <w:style w:type="paragraph" w:styleId="701">
    <w:name w:val="Header"/>
    <w:basedOn w:val="654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702">
    <w:name w:val="Footer"/>
    <w:basedOn w:val="654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703">
    <w:name w:val="footnote text"/>
    <w:basedOn w:val="654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04">
    <w:name w:val="endnote text"/>
    <w:basedOn w:val="654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05">
    <w:name w:val="toc 1"/>
    <w:basedOn w:val="654"/>
    <w:uiPriority w:val="39"/>
    <w:unhideWhenUsed/>
    <w:pPr>
      <w:ind w:left="0" w:right="0" w:firstLine="0"/>
      <w:spacing w:before="0" w:after="57"/>
    </w:pPr>
  </w:style>
  <w:style w:type="paragraph" w:styleId="706">
    <w:name w:val="toc 2"/>
    <w:basedOn w:val="654"/>
    <w:uiPriority w:val="39"/>
    <w:unhideWhenUsed/>
    <w:pPr>
      <w:ind w:left="283" w:right="0" w:firstLine="0"/>
      <w:spacing w:before="0" w:after="57"/>
    </w:pPr>
  </w:style>
  <w:style w:type="paragraph" w:styleId="707">
    <w:name w:val="toc 3"/>
    <w:basedOn w:val="654"/>
    <w:uiPriority w:val="39"/>
    <w:unhideWhenUsed/>
    <w:pPr>
      <w:ind w:left="567" w:right="0" w:firstLine="0"/>
      <w:spacing w:before="0" w:after="57"/>
    </w:pPr>
  </w:style>
  <w:style w:type="paragraph" w:styleId="708">
    <w:name w:val="toc 4"/>
    <w:basedOn w:val="654"/>
    <w:uiPriority w:val="39"/>
    <w:unhideWhenUsed/>
    <w:pPr>
      <w:ind w:left="850" w:right="0" w:firstLine="0"/>
      <w:spacing w:before="0" w:after="57"/>
    </w:pPr>
  </w:style>
  <w:style w:type="paragraph" w:styleId="709">
    <w:name w:val="toc 5"/>
    <w:basedOn w:val="654"/>
    <w:uiPriority w:val="39"/>
    <w:unhideWhenUsed/>
    <w:pPr>
      <w:ind w:left="1134" w:right="0" w:firstLine="0"/>
      <w:spacing w:before="0" w:after="57"/>
    </w:pPr>
  </w:style>
  <w:style w:type="paragraph" w:styleId="710">
    <w:name w:val="toc 6"/>
    <w:basedOn w:val="654"/>
    <w:uiPriority w:val="39"/>
    <w:unhideWhenUsed/>
    <w:pPr>
      <w:ind w:left="1417" w:right="0" w:firstLine="0"/>
      <w:spacing w:before="0" w:after="57"/>
    </w:pPr>
  </w:style>
  <w:style w:type="paragraph" w:styleId="711">
    <w:name w:val="toc 7"/>
    <w:basedOn w:val="654"/>
    <w:uiPriority w:val="39"/>
    <w:unhideWhenUsed/>
    <w:pPr>
      <w:ind w:left="1701" w:right="0" w:firstLine="0"/>
      <w:spacing w:before="0" w:after="57"/>
    </w:pPr>
  </w:style>
  <w:style w:type="paragraph" w:styleId="712">
    <w:name w:val="toc 8"/>
    <w:basedOn w:val="654"/>
    <w:uiPriority w:val="39"/>
    <w:unhideWhenUsed/>
    <w:pPr>
      <w:ind w:left="1984" w:right="0" w:firstLine="0"/>
      <w:spacing w:before="0" w:after="57"/>
    </w:pPr>
  </w:style>
  <w:style w:type="paragraph" w:styleId="713">
    <w:name w:val="toc 9"/>
    <w:basedOn w:val="654"/>
    <w:uiPriority w:val="39"/>
    <w:unhideWhenUsed/>
    <w:pPr>
      <w:ind w:left="2268" w:right="0" w:firstLine="0"/>
      <w:spacing w:before="0" w:after="57"/>
    </w:pPr>
  </w:style>
  <w:style w:type="paragraph" w:styleId="714">
    <w:name w:val="Index Heading"/>
    <w:basedOn w:val="689"/>
  </w:style>
  <w:style w:type="paragraph" w:styleId="715">
    <w:name w:val="TOC Heading"/>
    <w:uiPriority w:val="39"/>
    <w:unhideWhenUsed/>
    <w:qFormat/>
    <w:pPr>
      <w:jc w:val="left"/>
      <w:spacing w:before="0" w:after="0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16">
    <w:name w:val="table of figures"/>
    <w:basedOn w:val="654"/>
    <w:uiPriority w:val="99"/>
    <w:unhideWhenUsed/>
    <w:qFormat/>
    <w:pPr>
      <w:spacing w:before="0" w:after="0" w:afterAutospacing="0"/>
    </w:pPr>
  </w:style>
  <w:style w:type="paragraph" w:styleId="717">
    <w:name w:val="Balloon Text"/>
    <w:basedOn w:val="654"/>
    <w:uiPriority w:val="99"/>
    <w:semiHidden/>
    <w:unhideWhenUsed/>
    <w:qFormat/>
    <w:rPr>
      <w:rFonts w:ascii="Segoe UI" w:hAnsi="Segoe UI" w:cs="Segoe UI"/>
    </w:rPr>
  </w:style>
  <w:style w:type="paragraph" w:styleId="718" w:customStyle="1">
    <w:name w:val="Решение"/>
    <w:qFormat/>
    <w:pPr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u w:val="none"/>
      <w:vertAlign w:val="baseline"/>
      <w:lang w:val="ru-RU" w:eastAsia="ru-RU" w:bidi="ar-SA"/>
      <w14:ligatures w14:val="none"/>
    </w:rPr>
  </w:style>
  <w:style w:type="numbering" w:styleId="719" w:default="1">
    <w:name w:val="No List"/>
    <w:uiPriority w:val="99"/>
    <w:semiHidden/>
    <w:unhideWhenUsed/>
    <w:qFormat/>
  </w:style>
  <w:style w:type="table" w:styleId="720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23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24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7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debf6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debf6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febf6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67a4d8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750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4b1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751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752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d864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753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4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5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4d2eb" w:themeFill="accent1" w:themeFillTint="75"/>
      </w:tcPr>
    </w:tblStylePr>
    <w:tblStylePr w:type="band1Vert">
      <w:tcPr>
        <w:shd w:val="clear" w:color="ffffff" w:fill="b4d2eb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5b9bd5" w:themeFill="accent1"/>
      </w:tcPr>
    </w:tblStylePr>
    <w:tblStylePr w:type="firstRow">
      <w:rPr>
        <w:b/>
        <w:color w:val="ffffff"/>
        <w:sz w:val="22"/>
      </w:rPr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cPr>
        <w:shd w:val="clear" w:color="ffffff" w:fill="5b9bd5" w:themeFill="accent1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6c3a1" w:themeFill="accent2" w:themeFillTint="75"/>
      </w:tcPr>
    </w:tblStylePr>
    <w:tblStylePr w:type="band1Vert">
      <w:tcPr>
        <w:shd w:val="clear" w:color="ffffff" w:fill="f6c3a1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ed7d31" w:themeFill="accent2"/>
      </w:tcPr>
    </w:tblStylePr>
    <w:tblStylePr w:type="firstRow">
      <w:rPr>
        <w:b/>
        <w:color w:val="ffffff"/>
        <w:sz w:val="22"/>
      </w:rPr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6d6d6" w:themeFill="accent3" w:themeFillTint="75"/>
      </w:tcPr>
    </w:tblStylePr>
    <w:tblStylePr w:type="band1Vert">
      <w:tcPr>
        <w:shd w:val="clear" w:color="ffffff" w:fill="d6d6d6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a5a5a5" w:themeFill="accent3"/>
      </w:tcPr>
    </w:tblStylePr>
    <w:tblStylePr w:type="firstRow">
      <w:rPr>
        <w:b/>
        <w:color w:val="ffffff"/>
        <w:sz w:val="22"/>
      </w:rPr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ee189" w:themeFill="accent4" w:themeFillTint="75"/>
      </w:tcPr>
    </w:tblStylePr>
    <w:tblStylePr w:type="band1Vert">
      <w:tcPr>
        <w:shd w:val="clear" w:color="ffffff" w:fill="fee189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ffc000" w:themeFill="accent4"/>
      </w:tcPr>
    </w:tblStylePr>
    <w:tblStylePr w:type="firstRow">
      <w:rPr>
        <w:b/>
        <w:color w:val="ffffff"/>
        <w:sz w:val="22"/>
      </w:rPr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abfe3" w:themeFill="accent5" w:themeFillTint="75"/>
      </w:tcPr>
    </w:tblStylePr>
    <w:tblStylePr w:type="band1Vert">
      <w:tcPr>
        <w:shd w:val="clear" w:color="ffffff" w:fill="aabfe3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4472c4" w:themeFill="accent5"/>
      </w:tcPr>
    </w:tblStylePr>
    <w:tblStylePr w:type="firstRow">
      <w:rPr>
        <w:b/>
        <w:color w:val="ffffff"/>
        <w:sz w:val="22"/>
      </w:rPr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cPr>
        <w:shd w:val="clear" w:color="ffffff" w:fill="4472c4" w:themeFill="accent5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edba8" w:themeFill="accent6" w:themeFillTint="75"/>
      </w:tcPr>
    </w:tblStylePr>
    <w:tblStylePr w:type="band1Vert">
      <w:tcPr>
        <w:shd w:val="clear" w:color="ffffff" w:fill="bedb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70ad47" w:themeFill="accent6"/>
      </w:tcPr>
    </w:tblStylePr>
    <w:tblStylePr w:type="firstRow">
      <w:rPr>
        <w:b/>
        <w:color w:val="ffffff"/>
        <w:sz w:val="22"/>
      </w:rPr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</w:style>
  <w:style w:type="table" w:styleId="762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76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76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76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76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76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76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769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84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5e6f4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5e6f4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85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adecb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fadecb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86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8e8e8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8e8e8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87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fefbf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ffefbf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88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cfdc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cfdc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89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dbebd0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dbebd0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90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5e6f4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adecb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8e8e8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fefbf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cfdc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dbebd0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0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0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0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0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4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0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eabdb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ad0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1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1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1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1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1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1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18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1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45d8d" w:themeColor="accent1" w:themeShade="95"/>
        <w:sz w:val="22"/>
      </w:rPr>
    </w:tblStylePr>
  </w:style>
  <w:style w:type="table" w:styleId="82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82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57575" w:themeColor="accent3" w:themeTint="98" w:themeShade="95"/>
        <w:sz w:val="22"/>
      </w:rPr>
    </w:tblStylePr>
  </w:style>
  <w:style w:type="table" w:styleId="82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82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5e9e" w:themeColor="accent5" w:themeTint="9A" w:themeShade="95"/>
        <w:sz w:val="22"/>
      </w:rPr>
    </w:tblStylePr>
  </w:style>
  <w:style w:type="table" w:styleId="82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5f8f3c" w:themeColor="accent6" w:themeTint="98" w:themeShade="95"/>
        <w:sz w:val="22"/>
      </w:rPr>
    </w:tblStylePr>
  </w:style>
  <w:style w:type="table" w:styleId="82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2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ce0f1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ce0f1" w:themeFill="accent1" w:themeFillTint="50"/>
      </w:tcPr>
    </w:tblStylePr>
    <w:tblStylePr w:type="fir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firstRow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Row">
      <w:rPr>
        <w:color w:val="f2f2f2"/>
        <w:sz w:val="22"/>
      </w:rPr>
      <w:tcPr>
        <w:shd w:val="clear" w:color="ffffff" w:fill="67a4d8" w:themeFill="accent1" w:themeFillTint="EA"/>
      </w:tcPr>
    </w:tblStylePr>
  </w:style>
  <w:style w:type="table" w:styleId="82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firstRow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Row">
      <w:rPr>
        <w:color w:val="f2f2f2"/>
        <w:sz w:val="22"/>
      </w:rPr>
      <w:tcPr>
        <w:shd w:val="clear" w:color="ffffff" w:fill="f4b185" w:themeFill="accent2" w:themeFillTint="97"/>
      </w:tcPr>
    </w:tblStylePr>
  </w:style>
  <w:style w:type="table" w:styleId="82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firstRow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cPr>
        <w:shd w:val="clear" w:color="ffffff" w:fill="a5a5a5" w:themeFill="accent3" w:themeFillTint="FE"/>
      </w:tcPr>
    </w:tblStylePr>
  </w:style>
  <w:style w:type="table" w:styleId="82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firstRow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cPr>
        <w:shd w:val="clear" w:color="ffffff" w:fill="ffd864" w:themeFill="accent4" w:themeFillTint="9A"/>
      </w:tcPr>
    </w:tblStylePr>
  </w:style>
  <w:style w:type="table" w:styleId="83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472c4" w:themeFill="accent5"/>
      </w:tcPr>
    </w:tblStylePr>
    <w:tblStylePr w:type="firstRow">
      <w:rPr>
        <w:color w:val="f2f2f2"/>
        <w:sz w:val="22"/>
      </w:rPr>
      <w:tcPr>
        <w:shd w:val="clear" w:color="ffffff" w:fill="4472c4" w:themeFill="accent5"/>
      </w:tcPr>
    </w:tblStylePr>
    <w:tblStylePr w:type="lastCol">
      <w:rPr>
        <w:color w:val="f2f2f2"/>
        <w:sz w:val="22"/>
      </w:rPr>
      <w:tcPr>
        <w:shd w:val="clear" w:color="ffffff" w:fill="4472c4" w:themeFill="accent5"/>
      </w:tcPr>
    </w:tblStylePr>
    <w:tblStylePr w:type="lastRow">
      <w:rPr>
        <w:color w:val="f2f2f2"/>
        <w:sz w:val="22"/>
      </w:rPr>
      <w:tcPr>
        <w:shd w:val="clear" w:color="ffffff" w:fill="4472c4" w:themeFill="accent5"/>
      </w:tcPr>
    </w:tblStylePr>
  </w:style>
  <w:style w:type="table" w:styleId="83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70ad47" w:themeFill="accent6"/>
      </w:tcPr>
    </w:tblStylePr>
    <w:tblStylePr w:type="firstRow">
      <w:rPr>
        <w:color w:val="f2f2f2"/>
        <w:sz w:val="22"/>
      </w:rPr>
      <w:tcPr>
        <w:shd w:val="clear" w:color="ffffff" w:fill="70ad47" w:themeFill="accent6"/>
      </w:tcPr>
    </w:tblStylePr>
    <w:tblStylePr w:type="lastCol">
      <w:rPr>
        <w:color w:val="f2f2f2"/>
        <w:sz w:val="22"/>
      </w:rPr>
      <w:tcPr>
        <w:shd w:val="clear" w:color="ffffff" w:fill="70ad47" w:themeFill="accent6"/>
      </w:tcPr>
    </w:tblStylePr>
    <w:tblStylePr w:type="lastRow">
      <w:rPr>
        <w:color w:val="f2f2f2"/>
        <w:sz w:val="22"/>
      </w:rPr>
      <w:tcPr>
        <w:shd w:val="clear" w:color="ffffff" w:fill="70ad47" w:themeFill="accent6"/>
      </w:tcPr>
    </w:tblStylePr>
  </w:style>
  <w:style w:type="table" w:styleId="83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3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ce0f1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ce0f1" w:themeFill="accent1" w:themeFillTint="50"/>
      </w:tcPr>
    </w:tblStylePr>
    <w:tblStylePr w:type="fir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firstRow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Row">
      <w:rPr>
        <w:color w:val="f2f2f2"/>
        <w:sz w:val="22"/>
      </w:rPr>
      <w:tcPr>
        <w:shd w:val="clear" w:color="ffffff" w:fill="67a4d8" w:themeFill="accent1" w:themeFillTint="EA"/>
      </w:tcPr>
    </w:tblStylePr>
  </w:style>
  <w:style w:type="table" w:styleId="83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firstRow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Row">
      <w:rPr>
        <w:color w:val="f2f2f2"/>
        <w:sz w:val="22"/>
      </w:rPr>
      <w:tcPr>
        <w:shd w:val="clear" w:color="ffffff" w:fill="f4b185" w:themeFill="accent2" w:themeFillTint="97"/>
      </w:tcPr>
    </w:tblStylePr>
  </w:style>
  <w:style w:type="table" w:styleId="83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firstRow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cPr>
        <w:shd w:val="clear" w:color="ffffff" w:fill="a5a5a5" w:themeFill="accent3" w:themeFillTint="FE"/>
      </w:tcPr>
    </w:tblStylePr>
  </w:style>
  <w:style w:type="table" w:styleId="83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firstRow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cPr>
        <w:shd w:val="clear" w:color="ffffff" w:fill="ffd864" w:themeFill="accent4" w:themeFillTint="9A"/>
      </w:tcPr>
    </w:tblStylePr>
  </w:style>
  <w:style w:type="table" w:styleId="83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472c4" w:themeFill="accent5"/>
      </w:tcPr>
    </w:tblStylePr>
    <w:tblStylePr w:type="firstRow">
      <w:rPr>
        <w:color w:val="f2f2f2"/>
        <w:sz w:val="22"/>
      </w:rPr>
      <w:tcPr>
        <w:shd w:val="clear" w:color="ffffff" w:fill="4472c4" w:themeFill="accent5"/>
      </w:tcPr>
    </w:tblStylePr>
    <w:tblStylePr w:type="lastCol">
      <w:rPr>
        <w:color w:val="f2f2f2"/>
        <w:sz w:val="22"/>
      </w:rPr>
      <w:tcPr>
        <w:shd w:val="clear" w:color="ffffff" w:fill="4472c4" w:themeFill="accent5"/>
      </w:tcPr>
    </w:tblStylePr>
    <w:tblStylePr w:type="lastRow">
      <w:rPr>
        <w:color w:val="f2f2f2"/>
        <w:sz w:val="22"/>
      </w:rPr>
      <w:tcPr>
        <w:shd w:val="clear" w:color="ffffff" w:fill="4472c4" w:themeFill="accent5"/>
      </w:tcPr>
    </w:tblStylePr>
  </w:style>
  <w:style w:type="table" w:styleId="83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70ad47" w:themeFill="accent6"/>
      </w:tcPr>
    </w:tblStylePr>
    <w:tblStylePr w:type="firstRow">
      <w:rPr>
        <w:color w:val="f2f2f2"/>
        <w:sz w:val="22"/>
      </w:rPr>
      <w:tcPr>
        <w:shd w:val="clear" w:color="ffffff" w:fill="70ad47" w:themeFill="accent6"/>
      </w:tcPr>
    </w:tblStylePr>
    <w:tblStylePr w:type="lastCol">
      <w:rPr>
        <w:color w:val="f2f2f2"/>
        <w:sz w:val="22"/>
      </w:rPr>
      <w:tcPr>
        <w:shd w:val="clear" w:color="ffffff" w:fill="70ad47" w:themeFill="accent6"/>
      </w:tcPr>
    </w:tblStylePr>
    <w:tblStylePr w:type="lastRow">
      <w:rPr>
        <w:color w:val="f2f2f2"/>
        <w:sz w:val="22"/>
      </w:rPr>
      <w:tcPr>
        <w:shd w:val="clear" w:color="ffffff" w:fill="70ad47" w:themeFill="accent6"/>
      </w:tcPr>
    </w:tblStylePr>
  </w:style>
  <w:style w:type="table" w:styleId="839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40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1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842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843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844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845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84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mailto:SkobelkinaSS@gradkostroma.ru" TargetMode="External"/><Relationship Id="rId9" Type="http://schemas.openxmlformats.org/officeDocument/2006/relationships/hyperlink" Target="https://grad.kostroma.gov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 г. Костромы</dc:creator>
  <dc:description/>
  <dc:language>ru-RU</dc:language>
  <cp:lastModifiedBy>SkobelkinaSS</cp:lastModifiedBy>
  <cp:revision>234</cp:revision>
  <dcterms:created xsi:type="dcterms:W3CDTF">2022-07-08T08:05:00Z</dcterms:created>
  <dcterms:modified xsi:type="dcterms:W3CDTF">2026-09-10T12:17:10Z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