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4"/>
        <w:ind w:left="6092" w:firstLine="0"/>
        <w:jc w:val="center"/>
        <w:spacing w:before="0" w:after="0" w:line="240" w:lineRule="auto"/>
        <w:rPr>
          <w:rFonts w:ascii="Times New Roman" w:hAnsi="Times New Roman" w:cs="Times New Roman"/>
          <w:i/>
          <w:sz w:val="26"/>
          <w:szCs w:val="31"/>
        </w:rPr>
      </w:pPr>
      <w:r>
        <w:rPr>
          <w:rFonts w:ascii="Times New Roman" w:hAnsi="Times New Roman" w:cs="Times New Roman"/>
          <w:i/>
          <w:sz w:val="26"/>
          <w:szCs w:val="31"/>
        </w:rPr>
        <w:t xml:space="preserve">Приложение 8</w:t>
      </w:r>
      <w:r>
        <w:rPr>
          <w:rFonts w:ascii="Times New Roman" w:hAnsi="Times New Roman" w:cs="Times New Roman"/>
          <w:i/>
          <w:sz w:val="26"/>
          <w:szCs w:val="31"/>
        </w:rPr>
      </w:r>
      <w:r>
        <w:rPr>
          <w:rFonts w:ascii="Times New Roman" w:hAnsi="Times New Roman" w:cs="Times New Roman"/>
          <w:i/>
          <w:sz w:val="26"/>
          <w:szCs w:val="31"/>
        </w:rPr>
      </w:r>
    </w:p>
    <w:p>
      <w:pPr>
        <w:pStyle w:val="654"/>
        <w:jc w:val="center"/>
        <w:spacing w:before="0" w:after="0" w:line="240" w:lineRule="auto"/>
        <w:rPr>
          <w:rFonts w:ascii="Times New Roman" w:hAnsi="Times New Roman" w:cs="Times New Roman"/>
          <w:bCs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31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i/>
          <w:sz w:val="26"/>
          <w:szCs w:val="31"/>
        </w:rPr>
        <w:t xml:space="preserve">к постановлению Главы</w:t>
      </w:r>
      <w:r>
        <w:rPr>
          <w:rFonts w:ascii="Times New Roman" w:hAnsi="Times New Roman" w:cs="Times New Roman"/>
          <w:bCs/>
          <w:i/>
          <w:sz w:val="26"/>
          <w:szCs w:val="26"/>
        </w:rPr>
      </w:r>
      <w:r>
        <w:rPr>
          <w:rFonts w:ascii="Times New Roman" w:hAnsi="Times New Roman" w:cs="Times New Roman"/>
          <w:bCs/>
          <w:i/>
          <w:sz w:val="26"/>
          <w:szCs w:val="26"/>
        </w:rPr>
      </w:r>
    </w:p>
    <w:p>
      <w:pPr>
        <w:pStyle w:val="654"/>
        <w:jc w:val="center"/>
        <w:spacing w:before="0" w:after="0" w:line="240" w:lineRule="auto"/>
        <w:rPr>
          <w:rFonts w:ascii="Times New Roman" w:hAnsi="Times New Roman" w:cs="Times New Roman"/>
          <w:bCs/>
          <w:i/>
          <w:sz w:val="26"/>
          <w:szCs w:val="26"/>
          <w:highlight w:val="none"/>
        </w:rPr>
      </w:pPr>
      <w:r>
        <w:rPr>
          <w:rFonts w:ascii="Times New Roman" w:hAnsi="Times New Roman" w:cs="Times New Roman"/>
          <w:i/>
          <w:sz w:val="26"/>
          <w:szCs w:val="31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i/>
          <w:sz w:val="26"/>
          <w:szCs w:val="31"/>
        </w:rPr>
        <w:t xml:space="preserve">города Костромы</w:t>
      </w:r>
      <w:r>
        <w:rPr>
          <w:rFonts w:ascii="Times New Roman" w:hAnsi="Times New Roman" w:cs="Times New Roman"/>
          <w:bCs/>
          <w:i/>
          <w:sz w:val="26"/>
          <w:szCs w:val="26"/>
          <w:highlight w:val="none"/>
        </w:rPr>
      </w:r>
      <w:r>
        <w:rPr>
          <w:rFonts w:ascii="Times New Roman" w:hAnsi="Times New Roman" w:cs="Times New Roman"/>
          <w:bCs/>
          <w:i/>
          <w:sz w:val="26"/>
          <w:szCs w:val="26"/>
          <w:highlight w:val="none"/>
        </w:rPr>
      </w:r>
    </w:p>
    <w:p>
      <w:pPr>
        <w:pStyle w:val="654"/>
        <w:jc w:val="center"/>
        <w:spacing w:before="0" w:after="0" w:line="240" w:lineRule="auto"/>
        <w:rPr>
          <w:rFonts w:ascii="Times New Roman" w:hAnsi="Times New Roman" w:cs="Times New Roman"/>
          <w:bCs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31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i/>
          <w:sz w:val="26"/>
          <w:szCs w:val="31"/>
        </w:rPr>
        <w:t xml:space="preserve">от «27»  ноября 2025 года №</w:t>
      </w:r>
      <w:r>
        <w:rPr>
          <w:rFonts w:ascii="Times New Roman" w:hAnsi="Times New Roman" w:cs="Times New Roman"/>
          <w:i/>
          <w:sz w:val="26"/>
          <w:szCs w:val="31"/>
        </w:rPr>
        <w:t xml:space="preserve"> 98</w:t>
      </w:r>
      <w:r>
        <w:rPr>
          <w:rFonts w:ascii="Times New Roman" w:hAnsi="Times New Roman" w:cs="Times New Roman"/>
          <w:bCs/>
          <w:i/>
          <w:sz w:val="26"/>
          <w:szCs w:val="26"/>
        </w:rPr>
      </w:r>
      <w:r>
        <w:rPr>
          <w:rFonts w:ascii="Times New Roman" w:hAnsi="Times New Roman" w:cs="Times New Roman"/>
          <w:bCs/>
          <w:i/>
          <w:sz w:val="26"/>
          <w:szCs w:val="26"/>
        </w:rPr>
      </w:r>
    </w:p>
    <w:p>
      <w:pPr>
        <w:pStyle w:val="654"/>
        <w:ind w:firstLine="4820"/>
        <w:jc w:val="right"/>
        <w:rPr>
          <w:rFonts w:ascii="Times New Roman" w:hAnsi="Times New Roman" w:cs="Times New Roman"/>
          <w:bCs/>
          <w:i/>
          <w:sz w:val="24"/>
          <w:szCs w:val="24"/>
          <w:highlight w:val="none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  <w:highlight w:val="none"/>
        </w:rPr>
      </w:r>
      <w:r>
        <w:rPr>
          <w:rFonts w:ascii="Times New Roman" w:hAnsi="Times New Roman" w:cs="Times New Roman"/>
          <w:bCs/>
          <w:i/>
          <w:sz w:val="24"/>
          <w:szCs w:val="24"/>
          <w:highlight w:val="none"/>
        </w:rPr>
      </w:r>
    </w:p>
    <w:p>
      <w:pPr>
        <w:pStyle w:val="654"/>
        <w:ind w:firstLine="4820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i/>
          <w:sz w:val="20"/>
          <w:szCs w:val="20"/>
        </w:rPr>
      </w:r>
      <w:r>
        <w:rPr>
          <w:rFonts w:ascii="Times New Roman" w:hAnsi="Times New Roman" w:cs="Times New Roman"/>
          <w:i/>
          <w:sz w:val="20"/>
          <w:szCs w:val="20"/>
        </w:rPr>
      </w:r>
    </w:p>
    <w:p>
      <w:pPr>
        <w:pStyle w:val="654"/>
        <w:ind w:firstLine="708"/>
        <w:jc w:val="center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ОПОВЕЩЕНИЕ О НАЧАЛЕ ПУБЛИЧНЫХ СЛУШАНИЙ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54"/>
        <w:ind w:firstLine="709"/>
        <w:jc w:val="both"/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</w:rPr>
      </w:r>
    </w:p>
    <w:p>
      <w:pPr>
        <w:ind w:firstLine="709"/>
        <w:jc w:val="both"/>
        <w:widowControl/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  <w14:ligatures w14:val="none"/>
        </w:rPr>
      </w:pPr>
      <w:r>
        <w:rPr>
          <w:rFonts w:ascii="Times New Roman" w:hAnsi="Times New Roman" w:eastAsia="Times New Roman" w:cs="Times New Roman"/>
          <w:iCs/>
          <w:color w:val="000000"/>
          <w:sz w:val="26"/>
          <w:szCs w:val="26"/>
          <w:lang w:val="ru-RU" w:eastAsia="ar-SA" w:bidi="ar-SA"/>
        </w:rPr>
        <w:t xml:space="preserve">Исполняющий обязанности временно исполняющего полномочия Главы </w:t>
        <w:br/>
        <w:t xml:space="preserve">города Костромы информирует </w:t>
      </w:r>
      <w:r>
        <w:rPr>
          <w:rFonts w:ascii="Times New Roman" w:hAnsi="Times New Roman" w:eastAsia="Times New Roman" w:cs="Times New Roman"/>
          <w:b w:val="0"/>
          <w:bCs w:val="0"/>
          <w:iCs/>
          <w:color w:val="000000"/>
          <w:sz w:val="26"/>
          <w:szCs w:val="26"/>
          <w:lang w:val="ru-RU" w:eastAsia="ar-SA" w:bidi="ar-SA"/>
        </w:rPr>
        <w:t xml:space="preserve">о назначении публичных слуш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аний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по проектам </w:t>
        <w:br/>
        <w:t xml:space="preserve">постановлений Администрации города Костромы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о предоставлении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разрешений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на отклоне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ние от предельных параметров разрешенного строительства, реконст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рукции объектов капитального строительства: на земельном участке с кадастровым номером 44:27:080207:5, расположенном по адресу: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Российская Федерация, Костро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мская             область, городской округ город Кострома, город Кострома, улица                                Машиностроителей, 7а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;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на земельном участке с кадастровым номеро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м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44:27:070109:601, расположенном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по адресу: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Российская Федерация, Костро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мская            область, городской округ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город Кострома, город Кострома,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проезд Чернорече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нский, 33;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о предоставлении разрешений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на условно разрешенный вид использования         земельного участка или объекта капитального строительства: </w:t>
        <w:br/>
        <w:t xml:space="preserve">с кадастровы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м номер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ом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44:27:070109:601, расположенного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по адресу: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Российская   Федерация, Костро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мская область, городской округ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город Кострома,                               город Кострома,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проезд Чернореченский, 33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;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с кадастровым номером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44:27:040526:1094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имеющего местоположение: Костромская область, город                 Кострома, улица Карьерная, 26а, ГК 188,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 бокс 223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;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с кадастровым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номером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44:27:050601:3212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имеющего местоположение: Костромская область,                                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город Кострома,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улица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Костромская, 78, ГПК № 149, гаражный бокс № 35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;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                   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с кадастровым номером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44:27:090405:219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имеющего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местоположение: Костромская область, город Кострома, поселок Учхоза «Костромской», в районе дома № 20,             бокс 11.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    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 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  <w14:ligatures w14:val="none"/>
        </w:rPr>
      </w:r>
    </w:p>
    <w:p>
      <w:pPr>
        <w:pStyle w:val="654"/>
        <w:ind w:firstLine="709"/>
        <w:jc w:val="both"/>
        <w:widowControl/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Проекты постановлений Администрации города Костромы являются                        приложениями </w:t>
      </w:r>
      <w:r>
        <w:rPr>
          <w:rFonts w:ascii="Times New Roman" w:hAnsi="Times New Roman" w:cs="Times New Roman"/>
          <w:sz w:val="26"/>
          <w:szCs w:val="24"/>
        </w:rPr>
        <w:t xml:space="preserve">к постановлению Главы города Костромы от 27 ноября 2025</w:t>
      </w:r>
      <w:r>
        <w:rPr>
          <w:rFonts w:ascii="Times New Roman" w:hAnsi="Times New Roman" w:cs="Times New Roman"/>
          <w:sz w:val="26"/>
          <w:szCs w:val="24"/>
          <w:highlight w:val="white"/>
        </w:rPr>
        <w:t xml:space="preserve"> года             № </w:t>
      </w:r>
      <w:r>
        <w:rPr>
          <w:rFonts w:ascii="Times New Roman" w:hAnsi="Times New Roman" w:cs="Times New Roman"/>
          <w:sz w:val="26"/>
          <w:szCs w:val="24"/>
          <w:highlight w:val="white"/>
        </w:rPr>
        <w:t xml:space="preserve">9</w:t>
      </w:r>
      <w:r>
        <w:rPr>
          <w:rFonts w:ascii="Times New Roman" w:hAnsi="Times New Roman" w:cs="Times New Roman"/>
          <w:sz w:val="26"/>
          <w:szCs w:val="24"/>
          <w:highlight w:val="white"/>
        </w:rPr>
        <w:t xml:space="preserve">8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.</w:t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</w:p>
    <w:p>
      <w:pPr>
        <w:pStyle w:val="654"/>
        <w:ind w:firstLine="709"/>
        <w:jc w:val="both"/>
        <w:widowControl/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/>
        </w:rPr>
        <w:t xml:space="preserve">Собрание участников публичных слушаний состоится 16 декабря 2025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 года                    с 15.00 до 16.15 часов в здании по адресу: Российская Федерация, Костромская                   область, городской округ город Кострома, город Кострома, площадь Конституции, дом 2, 3 этаж, кабинет 306.</w:t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</w:p>
    <w:p>
      <w:pPr>
        <w:pStyle w:val="654"/>
        <w:ind w:firstLine="709"/>
        <w:jc w:val="both"/>
        <w:widowControl/>
        <w:rPr>
          <w:sz w:val="26"/>
          <w:szCs w:val="26"/>
          <w:highlight w:val="none"/>
          <w:shd w:val="clear" w:color="auto" w:fill="auto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Организатор публичных слушаний - Комисс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ия по подготовке проекта Правил землепользования и застройки города Костромы (адрес: Российская Федерация,                Костромская область, городской округ город Кострома, город Кострома,                  площадь Конституции, дом 2, телефон (4942) 42 66</w:t>
      </w: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 81, электронный адрес: </w:t>
      </w:r>
      <w:hyperlink r:id="rId8" w:tooltip="mailto:SkobelkinaSS@gradkostroma.ru" w:history="1">
        <w:r>
          <w:rPr>
            <w:rStyle w:val="688"/>
            <w:rFonts w:ascii="Times New Roman" w:hAnsi="Times New Roman" w:cs="Times New Roman"/>
            <w:iCs/>
            <w:color w:val="000000"/>
            <w:sz w:val="26"/>
            <w:szCs w:val="26"/>
            <w:shd w:val="clear" w:color="auto" w:fill="auto"/>
            <w:lang w:val="en-US"/>
          </w:rPr>
          <w:t xml:space="preserve">SkobelkinaSS</w:t>
        </w:r>
        <w:r>
          <w:rPr>
            <w:rStyle w:val="688"/>
            <w:rFonts w:ascii="Times New Roman" w:hAnsi="Times New Roman" w:cs="Times New Roman"/>
            <w:iCs/>
            <w:color w:val="000000"/>
            <w:sz w:val="26"/>
            <w:szCs w:val="26"/>
            <w:shd w:val="clear" w:color="auto" w:fill="auto"/>
          </w:rPr>
          <w:t xml:space="preserve">@gradkostroma.ru</w:t>
        </w:r>
      </w:hyperlink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).</w:t>
      </w:r>
      <w:r>
        <w:rPr>
          <w:sz w:val="26"/>
          <w:szCs w:val="26"/>
          <w:highlight w:val="none"/>
          <w:shd w:val="clear" w:color="auto" w:fill="auto"/>
        </w:rPr>
      </w:r>
      <w:r>
        <w:rPr>
          <w:sz w:val="26"/>
          <w:szCs w:val="26"/>
          <w:highlight w:val="none"/>
          <w:shd w:val="clear" w:color="auto" w:fill="auto"/>
        </w:rPr>
      </w:r>
    </w:p>
    <w:p>
      <w:pPr>
        <w:pStyle w:val="654"/>
        <w:ind w:firstLine="709"/>
        <w:jc w:val="both"/>
        <w:widowControl/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  <w:lang w:val="ru-RU" w:eastAsia="ar-SA" w:bidi="ar-SA"/>
        </w:rPr>
        <w:t xml:space="preserve">Экспозиция проектов проводится на официальном сайте Администрации                 города Костромы в информационно-телекоммуникационной сети «Интернет» по                      адресу: </w:t>
      </w:r>
      <w:hyperlink r:id="rId9" w:tooltip="https://grad.kostroma.gov.ru/" w:history="1">
        <w:r>
          <w:rPr>
            <w:rFonts w:ascii="Times New Roman" w:hAnsi="Times New Roman" w:eastAsia="Times New Roman" w:cs="Times New Roman"/>
            <w:color w:val="000000"/>
            <w:sz w:val="26"/>
            <w:szCs w:val="26"/>
            <w:shd w:val="clear" w:color="auto" w:fill="ffffff"/>
            <w:lang w:val="ru-RU" w:eastAsia="ar-SA" w:bidi="ar-SA"/>
          </w:rPr>
          <w:t xml:space="preserve">https://grad.kostroma.gov.ru</w:t>
        </w:r>
      </w:hyperlink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  <w:lang w:val="ru-RU" w:eastAsia="ar-SA" w:bidi="ar-SA"/>
        </w:rPr>
        <w:t xml:space="preserve"> (раздел «Хозяйственная деятельность»/                              Гр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  <w:lang w:val="ru-RU" w:eastAsia="ar-SA" w:bidi="ar-SA"/>
        </w:rPr>
        <w:t xml:space="preserve">адостроительство/ публичные слушания) с 8 декабря по 16 декабря 2025 года, </w:t>
        <w:br/>
        <w:t xml:space="preserve">а также в здании по адресу: Российская Федерация, Костромская область, городской округ город Кострома, город Кострома, площадь Конституции, дом 2, 4 этаж, </w:t>
        <w:br/>
      </w:r>
      <w:r>
        <w:rPr>
          <w:rFonts w:ascii="Times New Roman" w:hAnsi="Times New Roman" w:eastAsia="Times New Roman" w:cs="Times New Roman"/>
          <w:iCs/>
          <w:color w:val="000000"/>
          <w:sz w:val="26"/>
          <w:szCs w:val="26"/>
          <w:shd w:val="clear" w:color="auto" w:fill="ffffff"/>
          <w:lang w:val="ru-RU" w:eastAsia="ar-SA" w:bidi="ar-SA"/>
        </w:rPr>
        <w:t xml:space="preserve">кабинет 416, с 8 декабря 2025 года по 16 декабря 2025 года е</w:t>
      </w:r>
      <w:r>
        <w:rPr>
          <w:rFonts w:ascii="Times New Roman" w:hAnsi="Times New Roman" w:eastAsia="Times New Roman" w:cs="Times New Roman"/>
          <w:iCs/>
          <w:color w:val="000000"/>
          <w:sz w:val="26"/>
          <w:szCs w:val="26"/>
          <w:shd w:val="clear" w:color="auto" w:fill="ffffff"/>
          <w:lang w:val="ru-RU" w:eastAsia="ar-SA" w:bidi="ar-SA"/>
        </w:rPr>
        <w:t xml:space="preserve">жедневно в </w:t>
      </w:r>
      <w:r>
        <w:rPr>
          <w:rFonts w:ascii="Times New Roman" w:hAnsi="Times New Roman" w:eastAsia="Times New Roman" w:cs="Times New Roman"/>
          <w:iCs/>
          <w:color w:val="000000"/>
          <w:sz w:val="26"/>
          <w:szCs w:val="26"/>
          <w:shd w:val="clear" w:color="auto" w:fill="ffffff"/>
          <w:lang w:val="ru-RU" w:eastAsia="ar-SA" w:bidi="ar-SA"/>
        </w:rPr>
        <w:t xml:space="preserve">б</w:t>
      </w:r>
      <w:r>
        <w:rPr>
          <w:rFonts w:ascii="Times New Roman" w:hAnsi="Times New Roman" w:eastAsia="Times New Roman" w:cs="Times New Roman"/>
          <w:iCs/>
          <w:color w:val="000000"/>
          <w:sz w:val="26"/>
          <w:szCs w:val="26"/>
          <w:shd w:val="clear" w:color="auto" w:fill="ffffff"/>
          <w:lang w:val="ru-RU" w:eastAsia="ar-SA" w:bidi="ar-SA"/>
        </w:rPr>
        <w:t xml:space="preserve">удние дни</w:t>
        <w:br/>
        <w:t xml:space="preserve">с 9.00 до 13.00 и с 14.00 до 18.00 часов. Посещение экспозиции проектов, а также                               консультирование проводятся во вторник и четверг 9 и 11 декабря 2025 года </w:t>
        <w:br/>
        <w:t xml:space="preserve">с 16.00 по 18.00 часов, а также по телефону (4942) 42 66 81.</w:t>
      </w:r>
      <w:r/>
    </w:p>
    <w:p>
      <w:pPr>
        <w:pStyle w:val="654"/>
        <w:ind w:firstLine="709"/>
        <w:jc w:val="both"/>
        <w:widowControl/>
        <w:rPr>
          <w:sz w:val="26"/>
          <w:szCs w:val="26"/>
          <w:highlight w:val="none"/>
          <w:shd w:val="clear" w:color="auto" w:fill="auto"/>
        </w:rPr>
      </w:pP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Проекты, п</w:t>
      </w: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одлежащие рассмотрению на публичных слушаниях,                                и информационные</w:t>
      </w: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 материалы к ним (при наличии) будут размещены                          на официальном сайте Администрации города Костромы в информационно-                     телекоммуникационной сети «Интернет» по адресу: https://grad.kostroma.gov.ru                  с </w:t>
      </w: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8 декабря 2025</w:t>
      </w: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 года. </w:t>
      </w:r>
      <w:r>
        <w:rPr>
          <w:sz w:val="26"/>
          <w:szCs w:val="26"/>
          <w:highlight w:val="none"/>
          <w:shd w:val="clear" w:color="auto" w:fill="auto"/>
        </w:rPr>
      </w:r>
      <w:r>
        <w:rPr>
          <w:sz w:val="26"/>
          <w:szCs w:val="26"/>
          <w:highlight w:val="none"/>
          <w:shd w:val="clear" w:color="auto" w:fill="auto"/>
        </w:rPr>
      </w:r>
    </w:p>
    <w:p>
      <w:pPr>
        <w:pStyle w:val="654"/>
        <w:ind w:firstLine="709"/>
        <w:jc w:val="both"/>
        <w:widowControl/>
        <w:rPr>
          <w:sz w:val="26"/>
          <w:szCs w:val="26"/>
          <w:highlight w:val="none"/>
          <w:shd w:val="clear" w:color="auto" w:fill="auto"/>
        </w:rPr>
      </w:pP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Участники публичных слушаний в целях идентификации представляют                   сведения о себе (фамилию, имя, отчество (при наличии), дату рождения, адрес места жительства (регистрации) - для ф</w:t>
      </w: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изических лиц; наименование, основной                              государственный регистрационный номер, место нахождения и адрес – для                      юридических лиц) с приложением документов, подтверждающих такие </w:t>
        <w:br/>
        <w:t xml:space="preserve">сведения. Участники публичных слу</w:t>
      </w: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шаний, являющиеся правообладателями                             соответствующих земельных участков и (или) расположенных на них объектов                     капитального строительства и (или) помещений, являющихся частью указанных                 объектов </w:t>
      </w: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капитального строительства, также представляют сведения соответственно о таких земельных участках, объектах капитального строительства, помещениях,                  являющихся частью указанных объектов капитального строительства, из Единого               г</w:t>
      </w: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осударственного реестра недвижимости и иные документы, устанавливающие или удостоверяющие их права на такие земельные участки, объекты капитального                   строительства, помещения, являющиеся частью указанных объектов капитального строительства.</w:t>
      </w:r>
      <w:r>
        <w:rPr>
          <w:sz w:val="26"/>
          <w:szCs w:val="26"/>
          <w:highlight w:val="none"/>
          <w:shd w:val="clear" w:color="auto" w:fill="auto"/>
        </w:rPr>
      </w:r>
      <w:r>
        <w:rPr>
          <w:sz w:val="26"/>
          <w:szCs w:val="26"/>
          <w:highlight w:val="none"/>
          <w:shd w:val="clear" w:color="auto" w:fill="auto"/>
        </w:rPr>
      </w:r>
    </w:p>
    <w:p>
      <w:pPr>
        <w:pStyle w:val="654"/>
        <w:ind w:firstLine="709"/>
        <w:jc w:val="both"/>
        <w:widowControl/>
        <w:rPr>
          <w:sz w:val="26"/>
          <w:szCs w:val="26"/>
          <w:highlight w:val="none"/>
          <w:shd w:val="clear" w:color="auto" w:fill="auto"/>
        </w:rPr>
      </w:pP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Обработка персональных данных участников публичных слушаний                             осуществляется с учетом требований, установленных Федеральным законом                         от 27 июля 2006 года № 152-ФЗ «О персональных данных».</w:t>
      </w:r>
      <w:r>
        <w:rPr>
          <w:sz w:val="26"/>
          <w:szCs w:val="26"/>
          <w:highlight w:val="none"/>
          <w:shd w:val="clear" w:color="auto" w:fill="auto"/>
        </w:rPr>
      </w:r>
      <w:r>
        <w:rPr>
          <w:sz w:val="26"/>
          <w:szCs w:val="26"/>
          <w:highlight w:val="none"/>
          <w:shd w:val="clear" w:color="auto" w:fill="auto"/>
        </w:rPr>
      </w:r>
    </w:p>
    <w:p>
      <w:pPr>
        <w:pStyle w:val="654"/>
        <w:ind w:firstLine="709"/>
        <w:jc w:val="both"/>
        <w:widowControl/>
        <w:rPr>
          <w:sz w:val="26"/>
          <w:szCs w:val="26"/>
          <w:highlight w:val="none"/>
          <w:shd w:val="clear" w:color="auto" w:fill="auto"/>
        </w:rPr>
      </w:pP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Участники публичных слушаний, представившие указанные сведения о себе, имеют право вносить предложения и замечания, касающиеся рассматриваемого               проекта:</w:t>
      </w:r>
      <w:r>
        <w:rPr>
          <w:sz w:val="26"/>
          <w:szCs w:val="26"/>
          <w:highlight w:val="none"/>
          <w:shd w:val="clear" w:color="auto" w:fill="auto"/>
        </w:rPr>
      </w:r>
      <w:r>
        <w:rPr>
          <w:sz w:val="26"/>
          <w:szCs w:val="26"/>
          <w:highlight w:val="none"/>
          <w:shd w:val="clear" w:color="auto" w:fill="auto"/>
        </w:rPr>
      </w:r>
    </w:p>
    <w:p>
      <w:pPr>
        <w:pStyle w:val="654"/>
        <w:ind w:firstLine="709"/>
        <w:jc w:val="both"/>
        <w:widowControl/>
        <w:rPr>
          <w:sz w:val="26"/>
          <w:szCs w:val="26"/>
          <w:highlight w:val="none"/>
          <w:shd w:val="clear" w:color="auto" w:fill="auto"/>
        </w:rPr>
      </w:pP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1) в письменной форме или в форме электронного документа в адрес                       организатора публичных слушаний с 8 декабря 2025 года по 16 декабря 2025 года;</w:t>
      </w:r>
      <w:r>
        <w:rPr>
          <w:sz w:val="26"/>
          <w:szCs w:val="26"/>
          <w:highlight w:val="none"/>
          <w:shd w:val="clear" w:color="auto" w:fill="auto"/>
        </w:rPr>
      </w:r>
      <w:r>
        <w:rPr>
          <w:sz w:val="26"/>
          <w:szCs w:val="26"/>
          <w:highlight w:val="none"/>
          <w:shd w:val="clear" w:color="auto" w:fill="auto"/>
        </w:rPr>
      </w:r>
    </w:p>
    <w:p>
      <w:pPr>
        <w:pStyle w:val="654"/>
        <w:ind w:firstLine="709"/>
        <w:jc w:val="both"/>
        <w:widowControl/>
        <w:rPr>
          <w:sz w:val="26"/>
          <w:szCs w:val="26"/>
          <w:highlight w:val="none"/>
          <w:shd w:val="clear" w:color="auto" w:fill="auto"/>
        </w:rPr>
      </w:pP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2) посредством записи в книге (журнале) учета посетителей экспозиции                 проекта, подлежащего рассмотрению на публичных слушаниях, в будние дни                       с </w:t>
      </w: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8 декабря 2025 года по 16 декабря </w:t>
      </w: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2025 года с 9-00 до 13-00 и с 14-00 до 18-00 часов в здании по адресу: Российская Федерация, Костромская область, городской округ                        город Кострома, город Кострома, площадь Конституции, 2, 4 этаж, кабинет 416;</w:t>
      </w:r>
      <w:r>
        <w:rPr>
          <w:sz w:val="26"/>
          <w:szCs w:val="26"/>
          <w:highlight w:val="none"/>
          <w:shd w:val="clear" w:color="auto" w:fill="auto"/>
        </w:rPr>
      </w:r>
      <w:r>
        <w:rPr>
          <w:sz w:val="26"/>
          <w:szCs w:val="26"/>
          <w:highlight w:val="none"/>
          <w:shd w:val="clear" w:color="auto" w:fill="auto"/>
        </w:rPr>
      </w:r>
    </w:p>
    <w:p>
      <w:pPr>
        <w:pStyle w:val="654"/>
        <w:ind w:firstLine="709"/>
        <w:jc w:val="both"/>
        <w:widowControl/>
        <w:rPr>
          <w:sz w:val="26"/>
          <w:szCs w:val="26"/>
          <w:highlight w:val="none"/>
          <w:shd w:val="clear" w:color="auto" w:fill="auto"/>
        </w:rPr>
      </w:pP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3) в устной и письменной форме в ходе проведения собрания участников              публичных слушаний.</w:t>
      </w:r>
      <w:r>
        <w:rPr>
          <w:sz w:val="26"/>
          <w:szCs w:val="26"/>
          <w:highlight w:val="none"/>
          <w:shd w:val="clear" w:color="auto" w:fill="auto"/>
        </w:rPr>
      </w:r>
      <w:r>
        <w:rPr>
          <w:sz w:val="26"/>
          <w:szCs w:val="26"/>
          <w:highlight w:val="none"/>
          <w:shd w:val="clear" w:color="auto" w:fill="auto"/>
        </w:rPr>
      </w:r>
    </w:p>
    <w:sectPr>
      <w:footnotePr/>
      <w:endnotePr/>
      <w:type w:val="nextPage"/>
      <w:pgSz w:w="11906" w:h="16838" w:orient="portrait"/>
      <w:pgMar w:top="567" w:right="567" w:bottom="397" w:left="1701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Mangal">
    <w:panose1 w:val="02040503050203030202"/>
  </w:font>
  <w:font w:name="Liberation Sans">
    <w:panose1 w:val="020B0604020202020204"/>
  </w:font>
  <w:font w:name="Segoe UI">
    <w:panose1 w:val="020B0502040204020203"/>
  </w:font>
  <w:font w:name="Microsoft YaHei">
    <w:panose1 w:val="020B0503020204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 w:default="1">
    <w:name w:val="Normal"/>
    <w:qFormat/>
    <w:pPr>
      <w:jc w:val="left"/>
      <w:spacing w:before="0" w:after="0" w:line="240" w:lineRule="auto"/>
      <w:widowControl w:val="off"/>
    </w:pPr>
    <w:rPr>
      <w:rFonts w:ascii="Arial" w:hAnsi="Arial" w:eastAsia="Times New Roman" w:cs="Arial" w:cstheme="minorBidi"/>
      <w:color w:val="auto"/>
      <w:sz w:val="18"/>
      <w:szCs w:val="18"/>
      <w:lang w:val="ru-RU" w:eastAsia="ar-SA" w:bidi="ar-SA"/>
    </w:rPr>
  </w:style>
  <w:style w:type="paragraph" w:styleId="655">
    <w:name w:val="Heading 1"/>
    <w:basedOn w:val="65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56">
    <w:name w:val="Heading 2"/>
    <w:basedOn w:val="65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57">
    <w:name w:val="Heading 3"/>
    <w:basedOn w:val="65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58">
    <w:name w:val="Heading 4"/>
    <w:basedOn w:val="65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9">
    <w:name w:val="Heading 5"/>
    <w:basedOn w:val="65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0">
    <w:name w:val="Heading 6"/>
    <w:basedOn w:val="65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61">
    <w:name w:val="Heading 7"/>
    <w:basedOn w:val="65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2">
    <w:name w:val="Heading 8"/>
    <w:basedOn w:val="65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63">
    <w:name w:val="Heading 9"/>
    <w:basedOn w:val="65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4">
    <w:name w:val="Heading 1 Char"/>
    <w:basedOn w:val="686"/>
    <w:uiPriority w:val="9"/>
    <w:qFormat/>
    <w:rPr>
      <w:rFonts w:ascii="Arial" w:hAnsi="Arial" w:eastAsia="Arial" w:cs="Arial"/>
      <w:sz w:val="40"/>
      <w:szCs w:val="40"/>
    </w:rPr>
  </w:style>
  <w:style w:type="character" w:styleId="665">
    <w:name w:val="Heading 2 Char"/>
    <w:basedOn w:val="686"/>
    <w:uiPriority w:val="9"/>
    <w:qFormat/>
    <w:rPr>
      <w:rFonts w:ascii="Arial" w:hAnsi="Arial" w:eastAsia="Arial" w:cs="Arial"/>
      <w:sz w:val="34"/>
    </w:rPr>
  </w:style>
  <w:style w:type="character" w:styleId="666">
    <w:name w:val="Heading 3 Char"/>
    <w:basedOn w:val="686"/>
    <w:uiPriority w:val="9"/>
    <w:qFormat/>
    <w:rPr>
      <w:rFonts w:ascii="Arial" w:hAnsi="Arial" w:eastAsia="Arial" w:cs="Arial"/>
      <w:sz w:val="30"/>
      <w:szCs w:val="30"/>
    </w:rPr>
  </w:style>
  <w:style w:type="character" w:styleId="667">
    <w:name w:val="Heading 4 Char"/>
    <w:basedOn w:val="686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68">
    <w:name w:val="Heading 5 Char"/>
    <w:basedOn w:val="686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69">
    <w:name w:val="Heading 6 Char"/>
    <w:basedOn w:val="686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70">
    <w:name w:val="Heading 7 Char"/>
    <w:basedOn w:val="686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71">
    <w:name w:val="Heading 8 Char"/>
    <w:basedOn w:val="68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72">
    <w:name w:val="Heading 9 Char"/>
    <w:basedOn w:val="686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73">
    <w:name w:val="Title Char"/>
    <w:basedOn w:val="686"/>
    <w:uiPriority w:val="10"/>
    <w:qFormat/>
    <w:rPr>
      <w:sz w:val="48"/>
      <w:szCs w:val="48"/>
    </w:rPr>
  </w:style>
  <w:style w:type="character" w:styleId="674">
    <w:name w:val="Subtitle Char"/>
    <w:basedOn w:val="686"/>
    <w:uiPriority w:val="11"/>
    <w:qFormat/>
    <w:rPr>
      <w:sz w:val="24"/>
      <w:szCs w:val="24"/>
    </w:rPr>
  </w:style>
  <w:style w:type="character" w:styleId="675">
    <w:name w:val="Quote Char"/>
    <w:uiPriority w:val="29"/>
    <w:qFormat/>
    <w:rPr>
      <w:i/>
    </w:rPr>
  </w:style>
  <w:style w:type="character" w:styleId="676">
    <w:name w:val="Intense Quote Char"/>
    <w:uiPriority w:val="30"/>
    <w:qFormat/>
    <w:rPr>
      <w:i/>
    </w:rPr>
  </w:style>
  <w:style w:type="character" w:styleId="677">
    <w:name w:val="Header Char"/>
    <w:basedOn w:val="686"/>
    <w:uiPriority w:val="99"/>
    <w:qFormat/>
  </w:style>
  <w:style w:type="character" w:styleId="678">
    <w:name w:val="Footer Char"/>
    <w:basedOn w:val="686"/>
    <w:uiPriority w:val="99"/>
    <w:qFormat/>
  </w:style>
  <w:style w:type="character" w:styleId="679">
    <w:name w:val="Caption Char"/>
    <w:uiPriority w:val="99"/>
    <w:qFormat/>
  </w:style>
  <w:style w:type="character" w:styleId="680">
    <w:name w:val="Footnote Text Char"/>
    <w:uiPriority w:val="99"/>
    <w:qFormat/>
    <w:rPr>
      <w:sz w:val="18"/>
    </w:rPr>
  </w:style>
  <w:style w:type="character" w:styleId="681">
    <w:name w:val="Символ сноски"/>
    <w:uiPriority w:val="99"/>
    <w:unhideWhenUsed/>
    <w:qFormat/>
    <w:rPr>
      <w:vertAlign w:val="superscript"/>
    </w:rPr>
  </w:style>
  <w:style w:type="character" w:styleId="682">
    <w:name w:val="footnote reference"/>
    <w:rPr>
      <w:vertAlign w:val="superscript"/>
    </w:rPr>
  </w:style>
  <w:style w:type="character" w:styleId="683">
    <w:name w:val="Endnote Text Char"/>
    <w:uiPriority w:val="99"/>
    <w:qFormat/>
    <w:rPr>
      <w:sz w:val="20"/>
    </w:rPr>
  </w:style>
  <w:style w:type="character" w:styleId="684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685">
    <w:name w:val="endnote reference"/>
    <w:rPr>
      <w:vertAlign w:val="superscript"/>
    </w:rPr>
  </w:style>
  <w:style w:type="character" w:styleId="686" w:default="1">
    <w:name w:val="Default Paragraph Font"/>
    <w:uiPriority w:val="1"/>
    <w:semiHidden/>
    <w:unhideWhenUsed/>
    <w:qFormat/>
  </w:style>
  <w:style w:type="character" w:styleId="687" w:customStyle="1">
    <w:name w:val="Текст выноски Знак"/>
    <w:basedOn w:val="686"/>
    <w:uiPriority w:val="99"/>
    <w:semiHidden/>
    <w:qFormat/>
    <w:rPr>
      <w:rFonts w:ascii="Segoe UI" w:hAnsi="Segoe UI" w:eastAsia="Times New Roman" w:cs="Segoe UI"/>
      <w:sz w:val="18"/>
      <w:szCs w:val="18"/>
      <w:lang w:eastAsia="ar-SA"/>
    </w:rPr>
  </w:style>
  <w:style w:type="character" w:styleId="688">
    <w:name w:val="Hyperlink"/>
    <w:basedOn w:val="686"/>
    <w:uiPriority w:val="99"/>
    <w:unhideWhenUsed/>
    <w:rPr>
      <w:color w:val="0563c1" w:themeColor="hyperlink"/>
      <w:u w:val="single"/>
    </w:rPr>
  </w:style>
  <w:style w:type="paragraph" w:styleId="689">
    <w:name w:val="Заголовок"/>
    <w:basedOn w:val="654"/>
    <w:next w:val="690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690">
    <w:name w:val="Body Text"/>
    <w:basedOn w:val="654"/>
    <w:pPr>
      <w:spacing w:before="0" w:after="140" w:line="276" w:lineRule="auto"/>
    </w:pPr>
  </w:style>
  <w:style w:type="paragraph" w:styleId="691">
    <w:name w:val="List"/>
    <w:basedOn w:val="690"/>
    <w:rPr>
      <w:rFonts w:cs="Mangal"/>
    </w:rPr>
  </w:style>
  <w:style w:type="paragraph" w:styleId="692">
    <w:name w:val="Caption"/>
    <w:basedOn w:val="654"/>
    <w:link w:val="679"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693">
    <w:name w:val="Указатель"/>
    <w:basedOn w:val="654"/>
    <w:qFormat/>
    <w:pPr>
      <w:suppressLineNumbers/>
    </w:pPr>
    <w:rPr>
      <w:rFonts w:cs="Mangal"/>
    </w:rPr>
  </w:style>
  <w:style w:type="paragraph" w:styleId="694">
    <w:name w:val="List Paragraph"/>
    <w:basedOn w:val="654"/>
    <w:uiPriority w:val="34"/>
    <w:qFormat/>
    <w:pPr>
      <w:contextualSpacing/>
      <w:ind w:left="720" w:firstLine="0"/>
      <w:spacing w:before="0" w:after="0"/>
    </w:pPr>
  </w:style>
  <w:style w:type="paragraph" w:styleId="695">
    <w:name w:val="No Spacing"/>
    <w:uiPriority w:val="1"/>
    <w:qFormat/>
    <w:pPr>
      <w:jc w:val="left"/>
      <w:spacing w:before="0" w:after="0" w:line="240" w:lineRule="auto"/>
      <w:widowControl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696">
    <w:name w:val="Title"/>
    <w:basedOn w:val="654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697">
    <w:name w:val="Subtitle"/>
    <w:basedOn w:val="654"/>
    <w:uiPriority w:val="11"/>
    <w:qFormat/>
    <w:pPr>
      <w:spacing w:before="200" w:after="200"/>
    </w:pPr>
    <w:rPr>
      <w:sz w:val="24"/>
      <w:szCs w:val="24"/>
    </w:rPr>
  </w:style>
  <w:style w:type="paragraph" w:styleId="698">
    <w:name w:val="Quote"/>
    <w:basedOn w:val="654"/>
    <w:uiPriority w:val="29"/>
    <w:qFormat/>
    <w:pPr>
      <w:ind w:left="720" w:right="720" w:firstLine="0"/>
    </w:pPr>
    <w:rPr>
      <w:i/>
    </w:rPr>
  </w:style>
  <w:style w:type="paragraph" w:styleId="699">
    <w:name w:val="Intense Quote"/>
    <w:basedOn w:val="654"/>
    <w:uiPriority w:val="30"/>
    <w:qFormat/>
    <w:pPr>
      <w:ind w:left="720" w:right="720" w:firstLine="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00">
    <w:name w:val="Колонтитул"/>
    <w:basedOn w:val="654"/>
    <w:qFormat/>
  </w:style>
  <w:style w:type="paragraph" w:styleId="701">
    <w:name w:val="Header"/>
    <w:basedOn w:val="654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702">
    <w:name w:val="Footer"/>
    <w:basedOn w:val="654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703">
    <w:name w:val="footnote text"/>
    <w:basedOn w:val="654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704">
    <w:name w:val="endnote text"/>
    <w:basedOn w:val="654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705">
    <w:name w:val="toc 1"/>
    <w:basedOn w:val="654"/>
    <w:uiPriority w:val="39"/>
    <w:unhideWhenUsed/>
    <w:pPr>
      <w:ind w:left="0" w:right="0" w:firstLine="0"/>
      <w:spacing w:before="0" w:after="57"/>
    </w:pPr>
  </w:style>
  <w:style w:type="paragraph" w:styleId="706">
    <w:name w:val="toc 2"/>
    <w:basedOn w:val="654"/>
    <w:uiPriority w:val="39"/>
    <w:unhideWhenUsed/>
    <w:pPr>
      <w:ind w:left="283" w:right="0" w:firstLine="0"/>
      <w:spacing w:before="0" w:after="57"/>
    </w:pPr>
  </w:style>
  <w:style w:type="paragraph" w:styleId="707">
    <w:name w:val="toc 3"/>
    <w:basedOn w:val="654"/>
    <w:uiPriority w:val="39"/>
    <w:unhideWhenUsed/>
    <w:pPr>
      <w:ind w:left="567" w:right="0" w:firstLine="0"/>
      <w:spacing w:before="0" w:after="57"/>
    </w:pPr>
  </w:style>
  <w:style w:type="paragraph" w:styleId="708">
    <w:name w:val="toc 4"/>
    <w:basedOn w:val="654"/>
    <w:uiPriority w:val="39"/>
    <w:unhideWhenUsed/>
    <w:pPr>
      <w:ind w:left="850" w:right="0" w:firstLine="0"/>
      <w:spacing w:before="0" w:after="57"/>
    </w:pPr>
  </w:style>
  <w:style w:type="paragraph" w:styleId="709">
    <w:name w:val="toc 5"/>
    <w:basedOn w:val="654"/>
    <w:uiPriority w:val="39"/>
    <w:unhideWhenUsed/>
    <w:pPr>
      <w:ind w:left="1134" w:right="0" w:firstLine="0"/>
      <w:spacing w:before="0" w:after="57"/>
    </w:pPr>
  </w:style>
  <w:style w:type="paragraph" w:styleId="710">
    <w:name w:val="toc 6"/>
    <w:basedOn w:val="654"/>
    <w:uiPriority w:val="39"/>
    <w:unhideWhenUsed/>
    <w:pPr>
      <w:ind w:left="1417" w:right="0" w:firstLine="0"/>
      <w:spacing w:before="0" w:after="57"/>
    </w:pPr>
  </w:style>
  <w:style w:type="paragraph" w:styleId="711">
    <w:name w:val="toc 7"/>
    <w:basedOn w:val="654"/>
    <w:uiPriority w:val="39"/>
    <w:unhideWhenUsed/>
    <w:pPr>
      <w:ind w:left="1701" w:right="0" w:firstLine="0"/>
      <w:spacing w:before="0" w:after="57"/>
    </w:pPr>
  </w:style>
  <w:style w:type="paragraph" w:styleId="712">
    <w:name w:val="toc 8"/>
    <w:basedOn w:val="654"/>
    <w:uiPriority w:val="39"/>
    <w:unhideWhenUsed/>
    <w:pPr>
      <w:ind w:left="1984" w:right="0" w:firstLine="0"/>
      <w:spacing w:before="0" w:after="57"/>
    </w:pPr>
  </w:style>
  <w:style w:type="paragraph" w:styleId="713">
    <w:name w:val="toc 9"/>
    <w:basedOn w:val="654"/>
    <w:uiPriority w:val="39"/>
    <w:unhideWhenUsed/>
    <w:pPr>
      <w:ind w:left="2268" w:right="0" w:firstLine="0"/>
      <w:spacing w:before="0" w:after="57"/>
    </w:pPr>
  </w:style>
  <w:style w:type="paragraph" w:styleId="714">
    <w:name w:val="Index Heading"/>
    <w:basedOn w:val="689"/>
  </w:style>
  <w:style w:type="paragraph" w:styleId="715">
    <w:name w:val="TOC Heading"/>
    <w:uiPriority w:val="39"/>
    <w:unhideWhenUsed/>
    <w:qFormat/>
    <w:pPr>
      <w:jc w:val="left"/>
      <w:spacing w:before="0" w:after="0"/>
      <w:widowControl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716">
    <w:name w:val="table of figures"/>
    <w:basedOn w:val="654"/>
    <w:uiPriority w:val="99"/>
    <w:unhideWhenUsed/>
    <w:qFormat/>
    <w:pPr>
      <w:spacing w:before="0" w:after="0" w:afterAutospacing="0"/>
    </w:pPr>
  </w:style>
  <w:style w:type="paragraph" w:styleId="717">
    <w:name w:val="Balloon Text"/>
    <w:basedOn w:val="654"/>
    <w:uiPriority w:val="99"/>
    <w:semiHidden/>
    <w:unhideWhenUsed/>
    <w:qFormat/>
    <w:rPr>
      <w:rFonts w:ascii="Segoe UI" w:hAnsi="Segoe UI" w:cs="Segoe UI"/>
    </w:rPr>
  </w:style>
  <w:style w:type="paragraph" w:styleId="718" w:customStyle="1">
    <w:name w:val="Решение"/>
    <w:qFormat/>
    <w:pPr>
      <w:ind w:left="0" w:right="0" w:firstLine="709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u w:val="none"/>
      <w:vertAlign w:val="baseline"/>
      <w:lang w:val="ru-RU" w:eastAsia="ru-RU" w:bidi="ar-SA"/>
      <w14:ligatures w14:val="none"/>
    </w:rPr>
  </w:style>
  <w:style w:type="numbering" w:styleId="719" w:default="1">
    <w:name w:val="No List"/>
    <w:uiPriority w:val="99"/>
    <w:semiHidden/>
    <w:unhideWhenUsed/>
    <w:qFormat/>
  </w:style>
  <w:style w:type="table" w:styleId="720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1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2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23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24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5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7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debf6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dede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ef2cb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9e2f2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e2ef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debf6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dede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ef2cb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9e2f2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e2ef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9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febf6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67a4d8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</w:tcBorders>
      </w:tcPr>
    </w:tblStylePr>
  </w:style>
  <w:style w:type="table" w:styleId="750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4b185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</w:tcBorders>
      </w:tcPr>
    </w:tblStylePr>
  </w:style>
  <w:style w:type="table" w:styleId="751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dede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a5a5a5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</w:tcBorders>
      </w:tcPr>
    </w:tblStylePr>
  </w:style>
  <w:style w:type="table" w:styleId="752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ef2cb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d864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</w:tcBorders>
      </w:tcPr>
    </w:tblStylePr>
  </w:style>
  <w:style w:type="table" w:styleId="753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9e2f2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4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e2ef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5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</w:style>
  <w:style w:type="table" w:styleId="75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b4d2eb" w:themeFill="accent1" w:themeFillTint="75"/>
      </w:tcPr>
    </w:tblStylePr>
    <w:tblStylePr w:type="band1Vert">
      <w:tcPr>
        <w:shd w:val="clear" w:color="ffffff" w:fill="b4d2eb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5b9bd5" w:themeFill="accent1"/>
      </w:tcPr>
    </w:tblStylePr>
    <w:tblStylePr w:type="firstRow">
      <w:rPr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ffffff"/>
        <w:sz w:val="22"/>
      </w:rPr>
      <w:tcPr>
        <w:shd w:val="clear" w:color="ffffff" w:fill="5b9bd5" w:themeFill="accent1"/>
      </w:tcPr>
    </w:tblStylePr>
    <w:tblStylePr w:type="lastRow">
      <w:rPr>
        <w:b/>
        <w:color w:val="ffffff"/>
        <w:sz w:val="22"/>
      </w:rPr>
      <w:tcPr>
        <w:shd w:val="clear" w:color="ffffff" w:fill="5b9bd5" w:themeFill="accent1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6c3a1" w:themeFill="accent2" w:themeFillTint="75"/>
      </w:tcPr>
    </w:tblStylePr>
    <w:tblStylePr w:type="band1Vert">
      <w:tcPr>
        <w:shd w:val="clear" w:color="ffffff" w:fill="f6c3a1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ed7d31" w:themeFill="accent2"/>
      </w:tcPr>
    </w:tblStylePr>
    <w:tblStylePr w:type="firstRow">
      <w:rPr>
        <w:b/>
        <w:color w:val="ffffff"/>
        <w:sz w:val="22"/>
      </w:rPr>
      <w:tcPr>
        <w:shd w:val="clear" w:color="ffffff" w:fill="ed7d31" w:themeFill="accent2"/>
      </w:tcPr>
    </w:tblStylePr>
    <w:tblStylePr w:type="lastCol">
      <w:rPr>
        <w:b/>
        <w:color w:val="ffffff"/>
        <w:sz w:val="22"/>
      </w:rPr>
      <w:tcPr>
        <w:shd w:val="clear" w:color="ffffff" w:fill="ed7d31" w:themeFill="accent2"/>
      </w:tcPr>
    </w:tblStylePr>
    <w:tblStylePr w:type="lastRow">
      <w:rPr>
        <w:b/>
        <w:color w:val="ffffff"/>
        <w:sz w:val="22"/>
      </w:rPr>
      <w:tcPr>
        <w:shd w:val="clear" w:color="ffffff" w:fill="ed7d31" w:themeFill="accent2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d6d6d6" w:themeFill="accent3" w:themeFillTint="75"/>
      </w:tcPr>
    </w:tblStylePr>
    <w:tblStylePr w:type="band1Vert">
      <w:tcPr>
        <w:shd w:val="clear" w:color="ffffff" w:fill="d6d6d6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a5a5a5" w:themeFill="accent3"/>
      </w:tcPr>
    </w:tblStylePr>
    <w:tblStylePr w:type="firstRow">
      <w:rPr>
        <w:b/>
        <w:color w:val="ffffff"/>
        <w:sz w:val="22"/>
      </w:rPr>
      <w:tcPr>
        <w:shd w:val="clear" w:color="ffffff" w:fill="a5a5a5" w:themeFill="accent3"/>
      </w:tcPr>
    </w:tblStylePr>
    <w:tblStylePr w:type="lastCol">
      <w:rPr>
        <w:b/>
        <w:color w:val="ffffff"/>
        <w:sz w:val="22"/>
      </w:rPr>
      <w:tcPr>
        <w:shd w:val="clear" w:color="ffffff" w:fill="a5a5a5" w:themeFill="accent3"/>
      </w:tcPr>
    </w:tblStylePr>
    <w:tblStylePr w:type="lastRow">
      <w:rPr>
        <w:b/>
        <w:color w:val="ffffff"/>
        <w:sz w:val="22"/>
      </w:rPr>
      <w:tcPr>
        <w:shd w:val="clear" w:color="ffffff" w:fill="a5a5a5" w:themeFill="accent3"/>
        <w:tcBorders>
          <w:top w:val="single" w:color="000000" w:themeColor="light1" w:sz="4" w:space="0"/>
        </w:tcBorders>
      </w:tcPr>
    </w:tblStylePr>
  </w:style>
  <w:style w:type="table" w:styleId="75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ee189" w:themeFill="accent4" w:themeFillTint="75"/>
      </w:tcPr>
    </w:tblStylePr>
    <w:tblStylePr w:type="band1Vert">
      <w:tcPr>
        <w:shd w:val="clear" w:color="ffffff" w:fill="fee189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ffc000" w:themeFill="accent4"/>
      </w:tcPr>
    </w:tblStylePr>
    <w:tblStylePr w:type="firstRow">
      <w:rPr>
        <w:b/>
        <w:color w:val="ffffff"/>
        <w:sz w:val="22"/>
      </w:rPr>
      <w:tcPr>
        <w:shd w:val="clear" w:color="ffffff" w:fill="ffc000" w:themeFill="accent4"/>
      </w:tcPr>
    </w:tblStylePr>
    <w:tblStylePr w:type="lastCol">
      <w:rPr>
        <w:b/>
        <w:color w:val="ffffff"/>
        <w:sz w:val="22"/>
      </w:rPr>
      <w:tcPr>
        <w:shd w:val="clear" w:color="ffffff" w:fill="ffc000" w:themeFill="accent4"/>
      </w:tcPr>
    </w:tblStylePr>
    <w:tblStylePr w:type="lastRow">
      <w:rPr>
        <w:b/>
        <w:color w:val="ffffff"/>
        <w:sz w:val="22"/>
      </w:rPr>
      <w:tcPr>
        <w:shd w:val="clear" w:color="ffffff" w:fill="ffc000" w:themeFill="accent4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abfe3" w:themeFill="accent5" w:themeFillTint="75"/>
      </w:tcPr>
    </w:tblStylePr>
    <w:tblStylePr w:type="band1Vert">
      <w:tcPr>
        <w:shd w:val="clear" w:color="ffffff" w:fill="aabfe3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4472c4" w:themeFill="accent5"/>
      </w:tcPr>
    </w:tblStylePr>
    <w:tblStylePr w:type="firstRow">
      <w:rPr>
        <w:b/>
        <w:color w:val="ffffff"/>
        <w:sz w:val="22"/>
      </w:rPr>
      <w:tcPr>
        <w:shd w:val="clear" w:color="ffffff" w:fill="4472c4" w:themeFill="accent5"/>
      </w:tcPr>
    </w:tblStylePr>
    <w:tblStylePr w:type="lastCol">
      <w:rPr>
        <w:b/>
        <w:color w:val="ffffff"/>
        <w:sz w:val="22"/>
      </w:rPr>
      <w:tcPr>
        <w:shd w:val="clear" w:color="ffffff" w:fill="4472c4" w:themeFill="accent5"/>
      </w:tcPr>
    </w:tblStylePr>
    <w:tblStylePr w:type="lastRow">
      <w:rPr>
        <w:b/>
        <w:color w:val="ffffff"/>
        <w:sz w:val="22"/>
      </w:rPr>
      <w:tcPr>
        <w:shd w:val="clear" w:color="ffffff" w:fill="4472c4" w:themeFill="accent5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bedba8" w:themeFill="accent6" w:themeFillTint="75"/>
      </w:tcPr>
    </w:tblStylePr>
    <w:tblStylePr w:type="band1Vert">
      <w:tcPr>
        <w:shd w:val="clear" w:color="ffffff" w:fill="bedba8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70ad47" w:themeFill="accent6"/>
      </w:tcPr>
    </w:tblStylePr>
    <w:tblStylePr w:type="firstRow">
      <w:rPr>
        <w:b/>
        <w:color w:val="ffffff"/>
        <w:sz w:val="22"/>
      </w:rPr>
      <w:tcPr>
        <w:shd w:val="clear" w:color="ffffff" w:fill="70ad47" w:themeFill="accent6"/>
      </w:tcPr>
    </w:tblStylePr>
    <w:tblStylePr w:type="lastCol">
      <w:rPr>
        <w:b/>
        <w:color w:val="ffffff"/>
        <w:sz w:val="22"/>
      </w:rPr>
      <w:tcPr>
        <w:shd w:val="clear" w:color="ffffff" w:fill="70ad47" w:themeFill="accent6"/>
      </w:tcPr>
    </w:tblStylePr>
    <w:tblStylePr w:type="lastRow">
      <w:rPr>
        <w:b/>
        <w:color w:val="ffffff"/>
        <w:sz w:val="22"/>
      </w:rPr>
      <w:tcPr>
        <w:shd w:val="clear" w:color="ffffff" w:fill="70ad47" w:themeFill="accent6"/>
        <w:tcBorders>
          <w:top w:val="single" w:color="000000" w:themeColor="light1" w:sz="4" w:space="0"/>
        </w:tcBorders>
      </w:tcPr>
    </w:tblStylePr>
  </w:style>
  <w:style w:type="table" w:styleId="762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76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ffffff" w:fill="ddebf6" w:themeFill="accent1" w:themeFillTint="34"/>
      </w:tcPr>
    </w:tblStylePr>
    <w:tblStylePr w:type="band1Vert">
      <w:tcPr>
        <w:shd w:val="clear" w:color="ffffff" w:fill="ddebf6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76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76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ffffff" w:fill="ededed" w:themeFill="accent3" w:themeFillTint="34"/>
      </w:tcPr>
    </w:tblStylePr>
    <w:tblStylePr w:type="band1Vert">
      <w:tcPr>
        <w:shd w:val="clear" w:color="ffffff" w:fill="ededed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76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ef2cb" w:themeFill="accent4" w:themeFillTint="34"/>
      </w:tcPr>
    </w:tblStylePr>
    <w:tblStylePr w:type="band1Vert">
      <w:tcPr>
        <w:shd w:val="clear" w:color="ffffff" w:fill="fef2cb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76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d9e2f2" w:themeFill="accent5" w:themeFillTint="34"/>
      </w:tcPr>
    </w:tblStylePr>
    <w:tblStylePr w:type="band1Vert">
      <w:tcPr>
        <w:shd w:val="clear" w:color="ffffff" w:fill="d9e2f2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76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e2efd8" w:themeFill="accent6" w:themeFillTint="34"/>
      </w:tcPr>
    </w:tblStylePr>
    <w:tblStylePr w:type="band1Vert">
      <w:tcPr>
        <w:shd w:val="clear" w:color="ffffff" w:fill="e2efd8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769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17bba" w:themeColor="accent1" w:themeTint="80" w:themeShade="95"/>
        <w:sz w:val="22"/>
      </w:rPr>
      <w:tcPr>
        <w:shd w:val="clear" w:color="ffffff" w:fill="ddebf6" w:themeFill="accent1" w:themeFillTint="34"/>
      </w:tcPr>
    </w:tblStylePr>
    <w:tblStylePr w:type="band1Vert">
      <w:tcPr>
        <w:shd w:val="clear" w:color="ffffff" w:fill="ddebf6" w:themeFill="accent1" w:themeFillTint="34"/>
      </w:tcPr>
    </w:tblStylePr>
    <w:tblStylePr w:type="band2Horz">
      <w:rPr>
        <w:color w:val="317bba" w:themeColor="accent1" w:themeTint="80" w:themeShade="95"/>
        <w:sz w:val="22"/>
      </w:rPr>
    </w:tblStylePr>
    <w:tblStylePr w:type="firstCol">
      <w:rPr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17bba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17bba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606060" w:themeColor="accent3" w:themeTint="FE" w:themeShade="95"/>
        <w:sz w:val="22"/>
      </w:rPr>
      <w:tcPr>
        <w:shd w:val="clear" w:color="ffffff" w:fill="ededed" w:themeFill="accent3" w:themeFillTint="34"/>
      </w:tcPr>
    </w:tblStylePr>
    <w:tblStylePr w:type="band1Vert">
      <w:tcPr>
        <w:shd w:val="clear" w:color="ffffff" w:fill="ededed" w:themeFill="accent3" w:themeFillTint="34"/>
      </w:tcPr>
    </w:tblStylePr>
    <w:tblStylePr w:type="band2Horz">
      <w:rPr>
        <w:color w:val="606060" w:themeColor="accent3" w:themeTint="FE" w:themeShade="95"/>
        <w:sz w:val="22"/>
      </w:rPr>
    </w:tblStylePr>
    <w:tblStylePr w:type="firstCol">
      <w:rPr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606060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06060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cPr>
        <w:shd w:val="clear" w:color="ffffff" w:fill="fef2cb" w:themeFill="accent4" w:themeFillTint="34"/>
      </w:tcPr>
    </w:tblStylePr>
    <w:tblStylePr w:type="band1Vert">
      <w:tcPr>
        <w:shd w:val="clear" w:color="ffffff" w:fill="fef2cb" w:themeFill="accent4" w:themeFillTint="34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54374" w:themeColor="accent5" w:themeShade="95"/>
        <w:sz w:val="22"/>
      </w:rPr>
      <w:tcPr>
        <w:shd w:val="clear" w:color="ffffff" w:fill="d9e2f2" w:themeFill="accent5" w:themeFillTint="34"/>
      </w:tcPr>
    </w:tblStylePr>
    <w:tblStylePr w:type="band1Vert">
      <w:tcPr>
        <w:shd w:val="clear" w:color="ffffff" w:fill="d9e2f2" w:themeFill="accent5" w:themeFillTint="34"/>
      </w:tcPr>
    </w:tblStylePr>
    <w:tblStylePr w:type="band2Horz">
      <w:rPr>
        <w:color w:val="254374" w:themeColor="accent5" w:themeShade="95"/>
        <w:sz w:val="22"/>
      </w:rPr>
    </w:tblStylePr>
    <w:tblStylePr w:type="firstCol">
      <w:rPr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54374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54374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26429" w:themeColor="accent6" w:themeShade="95"/>
        <w:sz w:val="22"/>
      </w:rPr>
      <w:tcPr>
        <w:shd w:val="clear" w:color="ffffff" w:fill="e2efd8" w:themeFill="accent6" w:themeFillTint="34"/>
      </w:tcPr>
    </w:tblStylePr>
    <w:tblStylePr w:type="band1Vert">
      <w:tcPr>
        <w:shd w:val="clear" w:color="ffffff" w:fill="e2efd8" w:themeFill="accent6" w:themeFillTint="34"/>
      </w:tcPr>
    </w:tblStylePr>
    <w:tblStylePr w:type="band2Horz">
      <w:rPr>
        <w:color w:val="426429" w:themeColor="accent6" w:themeShade="95"/>
        <w:sz w:val="22"/>
      </w:rPr>
    </w:tblStylePr>
    <w:tblStylePr w:type="firstCol">
      <w:rPr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426429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26429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5e6f4" w:themeFill="accent1" w:themeFillTint="40"/>
      </w:tcPr>
    </w:tblStylePr>
    <w:tblStylePr w:type="band1Vert">
      <w:tcPr>
        <w:shd w:val="clear" w:color="ffffff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cfdcf0" w:themeFill="accent5" w:themeFillTint="40"/>
      </w:tcPr>
    </w:tblStylePr>
    <w:tblStylePr w:type="band1Vert">
      <w:tcPr>
        <w:shd w:val="clear" w:color="ffffff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bebd0" w:themeFill="accent6" w:themeFillTint="40"/>
      </w:tcPr>
    </w:tblStylePr>
    <w:tblStylePr w:type="band1Vert">
      <w:tcPr>
        <w:shd w:val="clear" w:color="ffffff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784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5e6f4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5e6f4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785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adecb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adecb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786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8e8e8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8e8e8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787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efb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efbf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788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cfdc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cfdc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789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dbebd0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dbebd0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790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5e6f4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adecb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8e8e8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efb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cfdc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dbebd0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0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0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4b185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0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9c9c9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0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d864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0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8eabdb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1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aad08f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11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81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cPr>
        <w:shd w:val="clear" w:color="ffffff" w:fill="d5e6f4" w:themeFill="accent1" w:themeFillTint="40"/>
      </w:tcPr>
    </w:tblStylePr>
    <w:tblStylePr w:type="band1Vert">
      <w:tcPr>
        <w:shd w:val="clear" w:color="ffffff" w:fill="d5e6f4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81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81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81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ffffff" w:fill="cfdcf0" w:themeFill="accent5" w:themeFillTint="40"/>
      </w:tcPr>
    </w:tblStylePr>
    <w:tblStylePr w:type="band1Vert">
      <w:tcPr>
        <w:shd w:val="clear" w:color="ffffff" w:fill="cfdcf0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81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ffffff" w:fill="dbebd0" w:themeFill="accent6" w:themeFillTint="40"/>
      </w:tcPr>
    </w:tblStylePr>
    <w:tblStylePr w:type="band1Vert">
      <w:tcPr>
        <w:shd w:val="clear" w:color="ffffff" w:fill="dbebd0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818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81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45d8d" w:themeColor="accent1" w:themeShade="95"/>
        <w:sz w:val="22"/>
      </w:rPr>
      <w:tcPr>
        <w:shd w:val="clear" w:color="ffffff" w:fill="d5e6f4" w:themeFill="accent1" w:themeFillTint="40"/>
      </w:tcPr>
    </w:tblStylePr>
    <w:tblStylePr w:type="band1Vert">
      <w:tcPr>
        <w:shd w:val="clear" w:color="ffffff" w:fill="d5e6f4" w:themeFill="accent1" w:themeFillTint="40"/>
      </w:tcPr>
    </w:tblStylePr>
    <w:tblStylePr w:type="band2Horz">
      <w:rPr>
        <w:color w:val="245d8d" w:themeColor="accent1" w:themeShade="95"/>
        <w:sz w:val="22"/>
      </w:rPr>
    </w:tblStylePr>
    <w:tblStylePr w:type="firstCol">
      <w:rPr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45d8d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45d8d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45d8d" w:themeColor="accent1" w:themeShade="95"/>
        <w:sz w:val="22"/>
      </w:rPr>
    </w:tblStylePr>
  </w:style>
  <w:style w:type="table" w:styleId="82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c95712" w:themeColor="accent2" w:themeTint="97" w:themeShade="95"/>
        <w:sz w:val="22"/>
      </w:rPr>
    </w:tblStylePr>
  </w:style>
  <w:style w:type="table" w:styleId="82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57575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color w:val="757575" w:themeColor="accent3" w:themeTint="98" w:themeShade="95"/>
        <w:sz w:val="22"/>
      </w:rPr>
    </w:tblStylePr>
    <w:tblStylePr w:type="firstCol">
      <w:rPr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57575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57575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57575" w:themeColor="accent3" w:themeTint="98" w:themeShade="95"/>
        <w:sz w:val="22"/>
      </w:rPr>
    </w:tblStylePr>
  </w:style>
  <w:style w:type="table" w:styleId="82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cd9600" w:themeColor="accent4" w:themeTint="9A" w:themeShade="95"/>
        <w:sz w:val="22"/>
      </w:rPr>
    </w:tblStylePr>
  </w:style>
  <w:style w:type="table" w:styleId="82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5e9e" w:themeColor="accent5" w:themeTint="9A" w:themeShade="95"/>
        <w:sz w:val="22"/>
      </w:rPr>
      <w:tcPr>
        <w:shd w:val="clear" w:color="ffffff" w:fill="cfdcf0" w:themeFill="accent5" w:themeFillTint="40"/>
      </w:tcPr>
    </w:tblStylePr>
    <w:tblStylePr w:type="band1Vert">
      <w:tcPr>
        <w:shd w:val="clear" w:color="ffffff" w:fill="cfdcf0" w:themeFill="accent5" w:themeFillTint="40"/>
      </w:tcPr>
    </w:tblStylePr>
    <w:tblStylePr w:type="band2Horz">
      <w:rPr>
        <w:color w:val="335e9e" w:themeColor="accent5" w:themeTint="9A" w:themeShade="95"/>
        <w:sz w:val="22"/>
      </w:rPr>
    </w:tblStylePr>
    <w:tblStylePr w:type="firstCol">
      <w:rPr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5e9e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5e9e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5e9e" w:themeColor="accent5" w:themeTint="9A" w:themeShade="95"/>
        <w:sz w:val="22"/>
      </w:rPr>
    </w:tblStylePr>
  </w:style>
  <w:style w:type="table" w:styleId="82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5f8f3c" w:themeColor="accent6" w:themeTint="98" w:themeShade="95"/>
        <w:sz w:val="22"/>
      </w:rPr>
      <w:tcPr>
        <w:shd w:val="clear" w:color="ffffff" w:fill="dbebd0" w:themeFill="accent6" w:themeFillTint="40"/>
      </w:tcPr>
    </w:tblStylePr>
    <w:tblStylePr w:type="band1Vert">
      <w:tcPr>
        <w:shd w:val="clear" w:color="ffffff" w:fill="dbebd0" w:themeFill="accent6" w:themeFillTint="40"/>
      </w:tcPr>
    </w:tblStylePr>
    <w:tblStylePr w:type="band2Horz">
      <w:rPr>
        <w:color w:val="5f8f3c" w:themeColor="accent6" w:themeTint="98" w:themeShade="95"/>
        <w:sz w:val="22"/>
      </w:rPr>
    </w:tblStylePr>
    <w:tblStylePr w:type="firstCol">
      <w:rPr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5f8f3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5f8f3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5f8f3c" w:themeColor="accent6" w:themeTint="98" w:themeShade="95"/>
        <w:sz w:val="22"/>
      </w:rPr>
    </w:tblStylePr>
  </w:style>
  <w:style w:type="table" w:styleId="82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2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ce0f1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ce0f1" w:themeFill="accent1" w:themeFillTint="50"/>
      </w:tcPr>
    </w:tblStylePr>
    <w:tblStylePr w:type="firstCol">
      <w:rPr>
        <w:color w:val="f2f2f2"/>
        <w:sz w:val="22"/>
      </w:rPr>
      <w:tcPr>
        <w:shd w:val="clear" w:color="ffffff" w:fill="67a4d8" w:themeFill="accent1" w:themeFillTint="EA"/>
      </w:tcPr>
    </w:tblStylePr>
    <w:tblStylePr w:type="firstRow">
      <w:rPr>
        <w:color w:val="f2f2f2"/>
        <w:sz w:val="22"/>
      </w:rPr>
      <w:tcPr>
        <w:shd w:val="clear" w:color="ffffff" w:fill="67a4d8" w:themeFill="accent1" w:themeFillTint="EA"/>
      </w:tcPr>
    </w:tblStylePr>
    <w:tblStylePr w:type="lastCol">
      <w:rPr>
        <w:color w:val="f2f2f2"/>
        <w:sz w:val="22"/>
      </w:rPr>
      <w:tcPr>
        <w:shd w:val="clear" w:color="ffffff" w:fill="67a4d8" w:themeFill="accent1" w:themeFillTint="EA"/>
      </w:tcPr>
    </w:tblStylePr>
    <w:tblStylePr w:type="lastRow">
      <w:rPr>
        <w:color w:val="f2f2f2"/>
        <w:sz w:val="22"/>
      </w:rPr>
      <w:tcPr>
        <w:shd w:val="clear" w:color="ffffff" w:fill="67a4d8" w:themeFill="accent1" w:themeFillTint="EA"/>
      </w:tcPr>
    </w:tblStylePr>
  </w:style>
  <w:style w:type="table" w:styleId="82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4b185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4b185" w:themeFill="accent2" w:themeFillTint="97"/>
      </w:tcPr>
    </w:tblStylePr>
    <w:tblStylePr w:type="lastCol">
      <w:rPr>
        <w:color w:val="f2f2f2"/>
        <w:sz w:val="22"/>
      </w:rPr>
      <w:tcPr>
        <w:shd w:val="clear" w:color="ffffff" w:fill="f4b185" w:themeFill="accent2" w:themeFillTint="97"/>
      </w:tcPr>
    </w:tblStylePr>
    <w:tblStylePr w:type="lastRow">
      <w:rPr>
        <w:color w:val="f2f2f2"/>
        <w:sz w:val="22"/>
      </w:rPr>
      <w:tcPr>
        <w:shd w:val="clear" w:color="ffffff" w:fill="f4b185" w:themeFill="accent2" w:themeFillTint="97"/>
      </w:tcPr>
    </w:tblStylePr>
  </w:style>
  <w:style w:type="table" w:styleId="82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dede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firstRow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cPr>
        <w:shd w:val="clear" w:color="ffffff" w:fill="a5a5a5" w:themeFill="accent3" w:themeFillTint="FE"/>
      </w:tcPr>
    </w:tblStylePr>
  </w:style>
  <w:style w:type="table" w:styleId="82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ef2cb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d864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d864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d864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d864" w:themeFill="accent4" w:themeFillTint="9A"/>
      </w:tcPr>
    </w:tblStylePr>
  </w:style>
  <w:style w:type="table" w:styleId="83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9e2f2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9e2f2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472c4" w:themeFill="accent5"/>
      </w:tcPr>
    </w:tblStylePr>
    <w:tblStylePr w:type="firstRow">
      <w:rPr>
        <w:color w:val="f2f2f2"/>
        <w:sz w:val="22"/>
      </w:rPr>
      <w:tcPr>
        <w:shd w:val="clear" w:color="ffffff" w:fill="4472c4" w:themeFill="accent5"/>
      </w:tcPr>
    </w:tblStylePr>
    <w:tblStylePr w:type="lastCol">
      <w:rPr>
        <w:color w:val="f2f2f2"/>
        <w:sz w:val="22"/>
      </w:rPr>
      <w:tcPr>
        <w:shd w:val="clear" w:color="ffffff" w:fill="4472c4" w:themeFill="accent5"/>
      </w:tcPr>
    </w:tblStylePr>
    <w:tblStylePr w:type="lastRow">
      <w:rPr>
        <w:color w:val="f2f2f2"/>
        <w:sz w:val="22"/>
      </w:rPr>
      <w:tcPr>
        <w:shd w:val="clear" w:color="ffffff" w:fill="4472c4" w:themeFill="accent5"/>
      </w:tcPr>
    </w:tblStylePr>
  </w:style>
  <w:style w:type="table" w:styleId="83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2ef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70ad47" w:themeFill="accent6"/>
      </w:tcPr>
    </w:tblStylePr>
    <w:tblStylePr w:type="firstRow">
      <w:rPr>
        <w:color w:val="f2f2f2"/>
        <w:sz w:val="22"/>
      </w:rPr>
      <w:tcPr>
        <w:shd w:val="clear" w:color="ffffff" w:fill="70ad47" w:themeFill="accent6"/>
      </w:tcPr>
    </w:tblStylePr>
    <w:tblStylePr w:type="lastCol">
      <w:rPr>
        <w:color w:val="f2f2f2"/>
        <w:sz w:val="22"/>
      </w:rPr>
      <w:tcPr>
        <w:shd w:val="clear" w:color="ffffff" w:fill="70ad47" w:themeFill="accent6"/>
      </w:tcPr>
    </w:tblStylePr>
    <w:tblStylePr w:type="lastRow">
      <w:rPr>
        <w:color w:val="f2f2f2"/>
        <w:sz w:val="22"/>
      </w:rPr>
      <w:tcPr>
        <w:shd w:val="clear" w:color="ffffff" w:fill="70ad47" w:themeFill="accent6"/>
      </w:tcPr>
    </w:tblStylePr>
  </w:style>
  <w:style w:type="table" w:styleId="83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3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ce0f1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ce0f1" w:themeFill="accent1" w:themeFillTint="50"/>
      </w:tcPr>
    </w:tblStylePr>
    <w:tblStylePr w:type="firstCol">
      <w:rPr>
        <w:color w:val="f2f2f2"/>
        <w:sz w:val="22"/>
      </w:rPr>
      <w:tcPr>
        <w:shd w:val="clear" w:color="ffffff" w:fill="67a4d8" w:themeFill="accent1" w:themeFillTint="EA"/>
      </w:tcPr>
    </w:tblStylePr>
    <w:tblStylePr w:type="firstRow">
      <w:rPr>
        <w:color w:val="f2f2f2"/>
        <w:sz w:val="22"/>
      </w:rPr>
      <w:tcPr>
        <w:shd w:val="clear" w:color="ffffff" w:fill="67a4d8" w:themeFill="accent1" w:themeFillTint="EA"/>
      </w:tcPr>
    </w:tblStylePr>
    <w:tblStylePr w:type="lastCol">
      <w:rPr>
        <w:color w:val="f2f2f2"/>
        <w:sz w:val="22"/>
      </w:rPr>
      <w:tcPr>
        <w:shd w:val="clear" w:color="ffffff" w:fill="67a4d8" w:themeFill="accent1" w:themeFillTint="EA"/>
      </w:tcPr>
    </w:tblStylePr>
    <w:tblStylePr w:type="lastRow">
      <w:rPr>
        <w:color w:val="f2f2f2"/>
        <w:sz w:val="22"/>
      </w:rPr>
      <w:tcPr>
        <w:shd w:val="clear" w:color="ffffff" w:fill="67a4d8" w:themeFill="accent1" w:themeFillTint="EA"/>
      </w:tcPr>
    </w:tblStylePr>
  </w:style>
  <w:style w:type="table" w:styleId="83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4b185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4b185" w:themeFill="accent2" w:themeFillTint="97"/>
      </w:tcPr>
    </w:tblStylePr>
    <w:tblStylePr w:type="lastCol">
      <w:rPr>
        <w:color w:val="f2f2f2"/>
        <w:sz w:val="22"/>
      </w:rPr>
      <w:tcPr>
        <w:shd w:val="clear" w:color="ffffff" w:fill="f4b185" w:themeFill="accent2" w:themeFillTint="97"/>
      </w:tcPr>
    </w:tblStylePr>
    <w:tblStylePr w:type="lastRow">
      <w:rPr>
        <w:color w:val="f2f2f2"/>
        <w:sz w:val="22"/>
      </w:rPr>
      <w:tcPr>
        <w:shd w:val="clear" w:color="ffffff" w:fill="f4b185" w:themeFill="accent2" w:themeFillTint="97"/>
      </w:tcPr>
    </w:tblStylePr>
  </w:style>
  <w:style w:type="table" w:styleId="83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dede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firstRow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cPr>
        <w:shd w:val="clear" w:color="ffffff" w:fill="a5a5a5" w:themeFill="accent3" w:themeFillTint="FE"/>
      </w:tcPr>
    </w:tblStylePr>
  </w:style>
  <w:style w:type="table" w:styleId="83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ef2cb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d864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d864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d864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d864" w:themeFill="accent4" w:themeFillTint="9A"/>
      </w:tcPr>
    </w:tblStylePr>
  </w:style>
  <w:style w:type="table" w:styleId="83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9e2f2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9e2f2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472c4" w:themeFill="accent5"/>
      </w:tcPr>
    </w:tblStylePr>
    <w:tblStylePr w:type="firstRow">
      <w:rPr>
        <w:color w:val="f2f2f2"/>
        <w:sz w:val="22"/>
      </w:rPr>
      <w:tcPr>
        <w:shd w:val="clear" w:color="ffffff" w:fill="4472c4" w:themeFill="accent5"/>
      </w:tcPr>
    </w:tblStylePr>
    <w:tblStylePr w:type="lastCol">
      <w:rPr>
        <w:color w:val="f2f2f2"/>
        <w:sz w:val="22"/>
      </w:rPr>
      <w:tcPr>
        <w:shd w:val="clear" w:color="ffffff" w:fill="4472c4" w:themeFill="accent5"/>
      </w:tcPr>
    </w:tblStylePr>
    <w:tblStylePr w:type="lastRow">
      <w:rPr>
        <w:color w:val="f2f2f2"/>
        <w:sz w:val="22"/>
      </w:rPr>
      <w:tcPr>
        <w:shd w:val="clear" w:color="ffffff" w:fill="4472c4" w:themeFill="accent5"/>
      </w:tcPr>
    </w:tblStylePr>
  </w:style>
  <w:style w:type="table" w:styleId="83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2ef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70ad47" w:themeFill="accent6"/>
      </w:tcPr>
    </w:tblStylePr>
    <w:tblStylePr w:type="firstRow">
      <w:rPr>
        <w:color w:val="f2f2f2"/>
        <w:sz w:val="22"/>
      </w:rPr>
      <w:tcPr>
        <w:shd w:val="clear" w:color="ffffff" w:fill="70ad47" w:themeFill="accent6"/>
      </w:tcPr>
    </w:tblStylePr>
    <w:tblStylePr w:type="lastCol">
      <w:rPr>
        <w:color w:val="f2f2f2"/>
        <w:sz w:val="22"/>
      </w:rPr>
      <w:tcPr>
        <w:shd w:val="clear" w:color="ffffff" w:fill="70ad47" w:themeFill="accent6"/>
      </w:tcPr>
    </w:tblStylePr>
    <w:tblStylePr w:type="lastRow">
      <w:rPr>
        <w:color w:val="f2f2f2"/>
        <w:sz w:val="22"/>
      </w:rPr>
      <w:tcPr>
        <w:shd w:val="clear" w:color="ffffff" w:fill="70ad47" w:themeFill="accent6"/>
      </w:tcPr>
    </w:tblStylePr>
  </w:style>
  <w:style w:type="table" w:styleId="839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840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1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842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843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844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845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84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mailto:SkobelkinaSS@gradkostroma.ru" TargetMode="External"/><Relationship Id="rId9" Type="http://schemas.openxmlformats.org/officeDocument/2006/relationships/hyperlink" Target="https://grad.kostroma.gov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 г. Костромы</dc:creator>
  <dc:description/>
  <dc:language>ru-RU</dc:language>
  <cp:lastModifiedBy>SkobelkinaSS</cp:lastModifiedBy>
  <cp:revision>223</cp:revision>
  <dcterms:created xsi:type="dcterms:W3CDTF">2022-07-08T08:05:00Z</dcterms:created>
  <dcterms:modified xsi:type="dcterms:W3CDTF">2025-11-28T12:39:47Z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