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9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«21» апреля 2026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sz w:val="26"/>
          <w:szCs w:val="31"/>
        </w:rPr>
        <w:t xml:space="preserve">32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Исполняющий обязанности временно исполняющего полномочия Главы </w:t>
        <w:br/>
        <w:t xml:space="preserve">города Костромы инф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ормирует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</w:t>
        <w:br/>
        <w:t xml:space="preserve">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становлений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Администрации города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предоставлении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разрешений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земельных участков или объектов                    капитального строительства: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44:27:050601:3245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имеющего                        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Костромская область, город Кострома, улица Костромская,                  НО ГПК № 68, бокс 225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44:27:050601:3239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              местоположение: Костромская область, город Кострома, территория ГСК 68, линия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бокс 218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44:27:040526:1108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местоположение:             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улица Карьерная, 26а,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ГК 188, бокс 215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44:27:040526:1107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местоположение: Костромская область, город Кострома, территория ГСК 188, бокс 233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44:27:050601:3246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местоположение: Костромская область,                       город Кострома, территория ГСК 149, бокс 67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44:27:020333:26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Российская Федерация, Костромская            область, городской округ город Кострома, город Кострома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проезд Судостроителей, 10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44:27:020119:173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Российская Федерация, Костромская область, городской округ город Кострома, город Кострома, проезд Апраксинский, земельный участок 15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21 апреля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12 мая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4 мая 2026 года по 12 мая 2026 года,              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4 мая 2026 года по 12 мая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с 9.00 до 13.00 и с 14.00 до 18.00 часов. Посещение экспозиции проектов, а также консультирование проводятся во вторник и четверг 5 и 7 мая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4 мая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4 мая 2026 года по 12 мая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4 мая 2026 года по 12 мая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часов                   в здании по адресу: Российская Федерация, Костромская область, городской округ      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231</cp:revision>
  <dcterms:created xsi:type="dcterms:W3CDTF">2022-07-08T08:05:00Z</dcterms:created>
  <dcterms:modified xsi:type="dcterms:W3CDTF">2026-04-23T07:20:22Z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