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ffffff"/>
          <w:sz w:val="26"/>
          <w:szCs w:val="26"/>
        </w:rPr>
        <w:t xml:space="preserve">оро</w:t>
      </w:r>
      <w:r>
        <w:rPr>
          <w:rFonts w:ascii="Times New Roman" w:hAnsi="Times New Roman"/>
          <w:b/>
          <w:sz w:val="26"/>
          <w:szCs w:val="26"/>
        </w:rPr>
        <w:t xml:space="preserve">Сводный</w:t>
      </w:r>
      <w:r>
        <w:rPr>
          <w:rFonts w:ascii="Times New Roman" w:hAnsi="Times New Roman"/>
          <w:b/>
          <w:sz w:val="26"/>
          <w:szCs w:val="26"/>
        </w:rPr>
        <w:t xml:space="preserve"> отчет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проведении оценки регулирующего воздействия проекта постановления Администрации города Костромы </w:t>
      </w:r>
      <w:r>
        <w:rPr>
          <w:rFonts w:ascii="Times New Roman" w:hAnsi="Times New Roman"/>
          <w:b/>
          <w:sz w:val="26"/>
          <w:szCs w:val="26"/>
        </w:rPr>
        <w:t xml:space="preserve">«</w:t>
      </w:r>
      <w:r>
        <w:rPr>
          <w:rFonts w:ascii="Times New Roman" w:hAnsi="Times New Roman" w:eastAsia="Calibri"/>
          <w:b/>
          <w:sz w:val="26"/>
          <w:szCs w:val="26"/>
        </w:rPr>
        <w:t xml:space="preserve">Об утверждении документации по планировке территории,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ограниченной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улицами Магистральной, Радиозаводской, Южной, внутриквартальным проездом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»</w:t>
      </w:r>
      <w:r>
        <w:rPr>
          <w:rFonts w:ascii="Times New Roman" w:hAnsi="Times New Roman"/>
          <w:b/>
          <w:sz w:val="26"/>
          <w:szCs w:val="26"/>
        </w:rPr>
        <w:t xml:space="preserve">, в виде проекта </w:t>
      </w:r>
      <w:r>
        <w:rPr>
          <w:rFonts w:ascii="Times New Roman" w:hAnsi="Times New Roman"/>
          <w:b/>
          <w:sz w:val="26"/>
          <w:szCs w:val="26"/>
        </w:rPr>
        <w:t xml:space="preserve">межевания территории </w:t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tbl>
      <w:tblPr>
        <w:tblW w:w="2943" w:type="dxa"/>
        <w:tblInd w:w="-108" w:type="dxa"/>
        <w:tblLook w:val="04A0" w:firstRow="1" w:lastRow="0" w:firstColumn="1" w:lastColumn="0" w:noHBand="0" w:noVBand="1"/>
      </w:tblPr>
      <w:tblGrid>
        <w:gridCol w:w="2943"/>
      </w:tblGrid>
      <w:tr>
        <w:tblPrEx/>
        <w:trPr/>
        <w:tc>
          <w:tcPr>
            <w:shd w:val="clear" w:color="auto" w:fill="auto"/>
            <w:tcBorders>
              <w:bottom w:val="single" w:color="000000" w:sz="4" w:space="0"/>
            </w:tcBorders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13.11.2024    б/н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</w:tcBorders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(дата и номер отчета)</w:t>
            </w:r>
            <w:r>
              <w:rPr>
                <w:rFonts w:ascii="Times New Roman" w:hAnsi="Times New Roman"/>
                <w:i/>
                <w:sz w:val="26"/>
                <w:szCs w:val="26"/>
              </w:rPr>
            </w:r>
            <w:r>
              <w:rPr>
                <w:rFonts w:ascii="Times New Roman" w:hAnsi="Times New Roman"/>
                <w:i/>
                <w:sz w:val="26"/>
                <w:szCs w:val="26"/>
              </w:rPr>
            </w:r>
          </w:p>
        </w:tc>
      </w:tr>
    </w:tbl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10100" w:type="dxa"/>
        <w:tblInd w:w="-318" w:type="dxa"/>
        <w:tblLook w:val="04A0" w:firstRow="1" w:lastRow="0" w:firstColumn="1" w:lastColumn="0" w:noHBand="0" w:noVBand="1"/>
      </w:tblPr>
      <w:tblGrid>
        <w:gridCol w:w="6591"/>
        <w:gridCol w:w="289"/>
        <w:gridCol w:w="3220"/>
      </w:tblGrid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Общая информация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9884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36830</wp:posOffset>
                      </wp:positionV>
                      <wp:extent cx="461010" cy="195580"/>
                      <wp:effectExtent l="0" t="0" r="0" b="0"/>
                      <wp:wrapSquare wrapText="bothSides"/>
                      <wp:docPr id="2" name="Врезк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ind w:left="0" w:firstLine="0"/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1.1.</w:t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" o:spid="_x0000_s1" o:spt="1" type="#_x0000_t1" style="position:absolute;z-index:251598848;o:allowoverlap:true;o:allowincell:true;mso-position-horizontal-relative:text;mso-position-horizontal:left;mso-position-vertical-relative:text;margin-top:2.90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0" w:firstLine="0"/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1.1.</w:t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Вид и наименование проекта акта: 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постановления Администрации города Костромы «Об утверждении документации по планировке территории</w:t>
            </w:r>
            <w:bookmarkStart w:id="0" w:name="__DdeLink__2272_4070034720"/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,</w:t>
            </w:r>
            <w:bookmarkEnd w:id="0"/>
            <w:r>
              <w:rPr>
                <w:rFonts w:ascii="Times New Roman" w:hAnsi="Times New Roman" w:eastAsia="Calibri"/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ограниченной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лицами Магистральной, Радиозаводской, Южной, внутриквартальным проездом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в виде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планировки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– Проект).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01920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3" name="Врезка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1010" cy="195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ind w:left="0" w:firstLine="0"/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1.2.</w:t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" o:spid="_x0000_s2" o:spt="1" type="#_x0000_t1" style="position:absolute;z-index:251601920;o:allowoverlap:true;o:allowincell:true;mso-position-horizontal-relative:text;margin-left:-2.25pt;mso-position-horizontal:absolute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0" w:firstLine="0"/>
                                    <w:rPr>
                                      <w:rStyle w:val="1056"/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  <w:t xml:space="preserve">1.2.</w:t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Разработчик: Администрация города Костромы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0499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4" name="Врезка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ind w:left="0" w:firstLine="0"/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1.3.</w:t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3" o:spid="_x0000_s3" o:spt="1" type="#_x0000_t1" style="position:absolute;z-index:251604992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0" w:firstLine="0"/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  <w:t xml:space="preserve">1.3.</w:t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Сведения об отраслевых (функциональных) органах (структурных подразделениях) разработчика – исполнителях проекта акта: Управление архитектуры и градостроительства  Администрации города Костромы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0806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5" name="Врезка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ind w:left="0" w:firstLine="0"/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1.4.</w:t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4" o:spid="_x0000_s4" o:spt="1" type="#_x0000_t1" style="position:absolute;z-index:251608064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0" w:firstLine="0"/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  <w:t xml:space="preserve">1.4.</w:t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Основание для разработки проекта акта: 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Основанием для разработки Проекта является представленная документация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 планировке указанной территории, разработанная на основании постановления Администрации города Костромы от 27 ноября 2019 года № 2301 «О подготовке документации по планировке территории, ограниченной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лицами Магистральной, Радиозаводской, Южной, внутриквартальным проездом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1113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" name="Врезка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ind w:left="0" w:firstLine="0"/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1.5.</w:t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" o:spid="_x0000_s5" o:spt="1" type="#_x0000_t1" style="position:absolute;z-index:25161113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0" w:firstLine="0"/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  <w:t xml:space="preserve">1.5.</w:t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Контактная информация исполнителя разработчика: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Ф.И.О.: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Мухина Кристина Евгеньевна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отдела перспективного развития территорий Администрации города Костромы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телефона: (4942)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42 70 72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MukhinaKE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@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gradkostroma.ru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spacing w:before="120" w:after="1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Степень регулирующего воздействия проекта акта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trHeight w:val="2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591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1420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7" name="Врезка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numPr>
                                            <w:ilvl w:val="1"/>
                                            <w:numId w:val="4"/>
                                          </w:numPr>
                                          <w:ind w:left="0" w:firstLine="0"/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" o:spid="_x0000_s6" o:spt="1" type="#_x0000_t1" style="position:absolute;z-index:251614208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numPr>
                                      <w:ilvl w:val="1"/>
                                      <w:numId w:val="4"/>
                                    </w:numPr>
                                    <w:ind w:left="0" w:firstLine="0"/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Степень регулирующего воздействия проекта акта: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средняя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110"/>
              <w:ind w:right="60"/>
              <w:jc w:val="both"/>
              <w:spacing w:after="0"/>
              <w:tabs>
                <w:tab w:val="left" w:pos="491" w:leader="none"/>
              </w:tabs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1728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8" name="Врезка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ind w:firstLine="29"/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2.2.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7" o:spid="_x0000_s7" o:spt="1" type="#_x0000_t1" style="position:absolute;z-index:251617280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firstLine="29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2.2.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Обоснование отнесения проекта акта к определенной степени регулирующего воздействия: 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Так как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проект муниципального правового акта содержит положения, изменяющие ранее предусмотренные муниципальными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в части исключения возможности образования земельных участков в иных границах правообладателями земельных участков, под объектами недвижимости, противоречащих документации по планировке обозначенной территории, в отношении разработанного проек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та установлена средняя степень регулирующего воздействия.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rPr>
                <w:vanish/>
                <w:highlight w:val="yellow"/>
              </w:rPr>
            </w:pPr>
            <w:r>
              <w:rPr>
                <w:vanish/>
                <w:highlight w:val="yellow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5891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22225"/>
                      <wp:effectExtent l="0" t="0" r="0" b="0"/>
                      <wp:wrapSquare wrapText="bothSides"/>
                      <wp:docPr id="9" name="Врезка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2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963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638"/>
                                  </w:tblGrid>
                                  <w:tr>
                                    <w:tblPrEx/>
                                    <w:trPr>
                                      <w:trHeight w:val="279"/>
                                    </w:trPr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963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1092"/>
                                          <w:rPr>
                                            <w:rFonts w:eastAsia="Calibri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Calibri"/>
                                            <w:sz w:val="24"/>
                                            <w:szCs w:val="24"/>
                                          </w:rPr>
                                          <w:t xml:space="preserve">3.1.</w:t>
                                        </w:r>
                                        <w:r>
                                          <w:rPr>
                                            <w:rFonts w:eastAsia="Calibri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eastAsia="Calibri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8" o:spid="_x0000_s8" o:spt="1" type="#_x0000_t1" style="position:absolute;z-index:251558912;o:allowoverlap:true;o:allowincell:true;mso-position-horizontal-relative:text;mso-position-horizontal:left;mso-position-vertical-relative:text;margin-top:0.05pt;mso-position-vertical:absolute;width:36.30pt;height:1.75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963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638"/>
                            </w:tblGrid>
                            <w:tr>
                              <w:tblPrEx/>
                              <w:trPr>
                                <w:trHeight w:val="279"/>
                              </w:trPr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96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92"/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  <w:t xml:space="preserve">3.1.</w:t>
                                  </w:r>
                                  <w:r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vanish/>
                <w:highlight w:val="yellow"/>
              </w:rPr>
            </w:r>
            <w:r>
              <w:rPr>
                <w:vanish/>
                <w:highlight w:val="yellow"/>
              </w:rPr>
            </w:r>
          </w:p>
          <w:tbl>
            <w:tblPr>
              <w:tblW w:w="9664" w:type="dxa"/>
              <w:tblInd w:w="4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64"/>
            </w:tblGrid>
            <w:tr>
              <w:tblPrEx/>
              <w:trPr/>
              <w:tc>
                <w:tcPr>
                  <w:shd w:val="clear" w:color="auto" w:fill="auto"/>
                  <w:tcW w:w="9664" w:type="dxa"/>
                  <w:textDirection w:val="lrTb"/>
                  <w:noWrap w:val="false"/>
                </w:tcPr>
                <w:p>
                  <w:pPr>
                    <w:pStyle w:val="858"/>
                    <w:ind w:firstLine="680"/>
                    <w:jc w:val="both"/>
                    <w:spacing w:after="0" w:line="240" w:lineRule="auto"/>
                    <w:shd w:val="clear" w:color="auto" w:fill="ffffff"/>
                    <w:widowControl w:val="off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585536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10" name="Врезка4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ffffff" w:fill="ffffff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3.1.</w:t>
                                              </w:r>
                                              <w: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r>
                                              <w: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9" o:spid="_x0000_s9" o:spt="1" type="#_x0000_t1" style="position:absolute;z-index:25158553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ffffff" w:fill="ffffff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3.1.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  <w:t xml:space="preserve">Описание проблемы, на решение которой направлен предлагаемый способ регулирования, условий и факторов ее существования:</w:t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r>
                </w:p>
                <w:p>
                  <w:pPr>
                    <w:ind w:firstLine="85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Theme="minorHAnsi"/>
                      <w:sz w:val="24"/>
                      <w:szCs w:val="24"/>
                      <w:lang w:eastAsia="en-US"/>
                    </w:rPr>
                  </w:r>
                  <w:r>
                    <w:rPr>
                      <w:rFonts w:ascii="Times New Roman" w:hAnsi="Times New Roman" w:eastAsiaTheme="minorHAnsi"/>
                      <w:sz w:val="24"/>
                      <w:szCs w:val="24"/>
                      <w:lang w:eastAsia="en-US"/>
                    </w:rPr>
                    <w:t xml:space="preserve">Принятие проекта постановления Администрации города Костромы </w:t>
                  </w:r>
                  <w:r>
                    <w:rPr>
                      <w:rFonts w:ascii="Times New Roman" w:hAnsi="Times New Roman" w:eastAsiaTheme="minorHAnsi"/>
                      <w:sz w:val="24"/>
                      <w:szCs w:val="24"/>
                      <w:lang w:eastAsia="en-US"/>
                    </w:rPr>
                    <w:t xml:space="preserve">«Об утвержден</w:t>
                  </w:r>
                  <w:r>
                    <w:rPr>
                      <w:rFonts w:ascii="Times New Roman" w:hAnsi="Times New Roman" w:eastAsiaTheme="minorHAnsi"/>
                      <w:sz w:val="24"/>
                      <w:szCs w:val="24"/>
                      <w:lang w:eastAsia="en-US"/>
                    </w:rPr>
                    <w:t xml:space="preserve">ии документации по планировке территории, 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ограниченной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улицами Магистральной, Радиозаводской, Южной, внутриквартальным проездом</w:t>
                  </w:r>
                  <w:r>
                    <w:rPr>
                      <w:rFonts w:ascii="Times New Roman" w:hAnsi="Times New Roman" w:eastAsia="Times New Roman" w:cs="Times New Roman" w:eastAsiaTheme="minorHAnsi"/>
                      <w:sz w:val="24"/>
                      <w:szCs w:val="24"/>
                      <w:lang w:eastAsia="en-US"/>
                    </w:rPr>
                    <w:t xml:space="preserve">»</w:t>
                  </w:r>
                  <w:r>
                    <w:rPr>
                      <w:rFonts w:ascii="Times New Roman" w:hAnsi="Times New Roman" w:eastAsiaTheme="minorHAnsi"/>
                      <w:sz w:val="24"/>
                      <w:szCs w:val="24"/>
                      <w:lang w:eastAsia="en-US"/>
                    </w:rPr>
                    <w:t xml:space="preserve"> (далее – Проект) обусловлено необходимостью образования земельных участков под многоквартирными жилыми домами и объектами, входящими в состав общедомового имущества, в целях соблюдения прав и законных интересов </w:t>
                  </w:r>
                  <w:r>
                    <w:rPr>
                      <w:rFonts w:ascii="Times New Roman" w:hAnsi="Times New Roman" w:eastAsiaTheme="minorHAnsi"/>
                      <w:sz w:val="24"/>
                      <w:szCs w:val="24"/>
                      <w:lang w:eastAsia="en-US"/>
                    </w:rPr>
                    <w:t xml:space="preserve">правообладателей земельных участков и объектов капитального строительства.</w:t>
                  </w:r>
                  <w:r>
                    <w:rPr>
                      <w:rFonts w:ascii="Times New Roman" w:hAnsi="Times New Roman" w:eastAsiaTheme="minorHAnsi"/>
                      <w:sz w:val="24"/>
                      <w:szCs w:val="24"/>
                      <w:lang w:eastAsia="en-US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ind w:firstLine="85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Theme="minorHAnsi"/>
                      <w:sz w:val="24"/>
                      <w:szCs w:val="24"/>
                      <w:lang w:eastAsia="en-US"/>
                    </w:rPr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</w:tr>
          </w:tbl>
          <w:p>
            <w:pPr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>
          <w:cantSplit/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20352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15875</wp:posOffset>
                      </wp:positionV>
                      <wp:extent cx="460375" cy="209550"/>
                      <wp:effectExtent l="0" t="0" r="0" b="0"/>
                      <wp:wrapSquare wrapText="bothSides"/>
                      <wp:docPr id="11" name="Врезка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3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0" o:spid="_x0000_s10" o:spt="1" type="#_x0000_t1" style="position:absolute;z-index:251620352;o:allowoverlap:true;o:allowincell:true;mso-position-horizontal-relative:text;margin-left:-0.15pt;mso-position-horizontal:absolute;mso-position-vertical-relative:text;margin-top:1.25pt;mso-position-vertical:absolute;width:36.25pt;height:16.5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3.2.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Негативные эффекты, возникающие в связи с наличием проблемы: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отсутствие рационального использования земельных участков под объектами капитального строительства;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- отсутствие сформированных границ земельных участков под многоквартирными домами;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отсутствие красных линий и линий регулирования застройки.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2342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12" name="Врезка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>
                                      <w:trHeight w:val="274"/>
                                    </w:trPr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tabs>
                                            <w:tab w:val="left" w:pos="284" w:leader="none"/>
                                            <w:tab w:val="left" w:pos="567" w:leader="none"/>
                                            <w:tab w:val="left" w:pos="851" w:leader="none"/>
                                            <w:tab w:val="left" w:pos="1134" w:leader="none"/>
                                          </w:tabs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3.3.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1" o:spid="_x0000_s11" o:spt="1" type="#_x0000_t1" style="position:absolute;z-index:251623424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>
                                <w:trHeight w:val="274"/>
                              </w:trPr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tabs>
                                      <w:tab w:val="left" w:pos="284" w:leader="none"/>
                                      <w:tab w:val="left" w:pos="567" w:leader="none"/>
                                      <w:tab w:val="left" w:pos="851" w:leader="none"/>
                                      <w:tab w:val="left" w:pos="1134" w:leader="none"/>
                                    </w:tabs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3.3.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Принятие проекта постановления Администрации города Костромы 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«Об утвержден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ии документации по планировке территории,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ограниченной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лицами Магистральной, Радиозаводской. Южной, внутриквартальным проездом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 (далее – Проект) обусловлено 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необходимостью образования земельных участков в целях соблюдения прав и законных интересов 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правообладателей земельных участков и объектов капитального строительства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Проблема выявилась в ходе проведения мониторинга регионального и федерального законодательства.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Мерой, направленной на решение проблемы, является разработка Проекта, позволяющего установить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границы земельных участков под объектами капитального стро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ительства путем образования границ земельных участков из земель, государственная собственность на которые не разграничена и перераспределения границ земельных участков с землями, государственная собственность на которые не разграничена,  красные линии улиц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проблемы осуществлялось с использованием ресурсов Разработчика.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Дополнительных ресурсов для решения данной проблемы не потребовалось.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8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Достигнутым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результатом решения данной проблемы является подготовленный Проект, предусматривающий установление границ земельных участков, на которых расположены многоквартирные жилые дома и иные иные объекты капитального строительства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2649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13" name="Врезка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3.4</w:t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  <w:t xml:space="preserve">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2" o:spid="_x0000_s12" o:spt="1" type="#_x0000_t1" style="position:absolute;z-index:25162649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3.4</w:t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  <w:t xml:space="preserve">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Описание условий, при которых проблема может быть решена в целом без вмешательства со стороны государства: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усматривается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7017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14" name="Врезка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3.5.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3" o:spid="_x0000_s13" o:spt="1" type="#_x0000_t1" style="position:absolute;z-index:25157017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3.5.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Источники данных: ИС «Консультант плюс»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cantSplit/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7324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15" name="Врезка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3.6.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4" o:spid="_x0000_s14" o:spt="1" type="#_x0000_t1" style="position:absolute;z-index:251573248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3.6.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Иная информация о проблеме: отсутствует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b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b/>
                <w:sz w:val="24"/>
                <w:szCs w:val="24"/>
                <w:highlight w:val="yellow"/>
                <w:lang w:val="en-US" w:eastAsia="ru-RU"/>
              </w:rPr>
            </w:r>
            <w:r>
              <w:rPr>
                <w:b/>
                <w:sz w:val="24"/>
                <w:szCs w:val="24"/>
                <w:highlight w:val="yellow"/>
                <w:lang w:val="en-US" w:eastAsia="ru-RU"/>
              </w:rPr>
            </w:r>
            <w:r>
              <w:rPr>
                <w:b/>
                <w:sz w:val="24"/>
                <w:szCs w:val="24"/>
                <w:highlight w:val="yellow"/>
                <w:lang w:val="en-US" w:eastAsia="ru-RU"/>
              </w:rPr>
            </w:r>
          </w:p>
        </w:tc>
      </w:tr>
      <w:tr>
        <w:tblPrEx/>
        <w:trPr>
          <w:trHeight w:val="445"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spacing w:after="1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Анализ опыта Российской Федерации, субъектов Российской Федерации, иных муниципальных образований в соответствующих сферах деятельности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tbl>
            <w:tblPr>
              <w:tblW w:w="9526" w:type="dxa"/>
              <w:tblInd w:w="10" w:type="dxa"/>
              <w:tblLook w:val="04A0" w:firstRow="1" w:lastRow="0" w:firstColumn="1" w:lastColumn="0" w:noHBand="0" w:noVBand="1"/>
            </w:tblPr>
            <w:tblGrid>
              <w:gridCol w:w="9526"/>
            </w:tblGrid>
            <w:tr>
              <w:tblPrEx/>
              <w:trPr>
                <w:cantSplit/>
                <w:trHeight w:val="2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526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29568" behindDoc="0" locked="0" layoutInCell="1" allowOverlap="1">
                            <wp:simplePos x="0" y="0"/>
                            <wp:positionH relativeFrom="column">
                              <wp:posOffset>-1270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45135" cy="195580"/>
                            <wp:effectExtent l="0" t="0" r="0" b="0"/>
                            <wp:wrapSquare wrapText="bothSides"/>
                            <wp:docPr id="16" name="Врезка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4460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4.1</w:t>
                                              </w:r>
                                              <w:r>
                                                <w:rPr>
                                                  <w:rStyle w:val="1056"/>
                                                  <w:sz w:val="24"/>
                                                  <w:szCs w:val="24"/>
                                                </w:rPr>
                                                <w:t xml:space="preserve">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15" o:spid="_x0000_s15" o:spt="1" type="#_x0000_t1" style="position:absolute;z-index:251629568;o:allowoverlap:true;o:allowincell:true;mso-position-horizontal-relative:text;margin-left:-0.10pt;mso-position-horizontal:absolute;mso-position-vertical-relative:text;margin-top:1.45pt;mso-position-vertical:absolute;width:35.05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4.1</w:t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  <w:t xml:space="preserve">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Опыт Российской Федерации, субъектов Российской Федерации, иных муниципальных образований в соответствующих сферах деятельности: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 ходе проведенного анализа опыта в субъектах Российской Федерации, иных муниципальных образований в соответствующих сферах де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ятельности, в том числе городского округа город Ярославль Ярославской области, выявлено, что в соответствии с Градостроительным кодексом Российской Федерации утверждена документация по планировке территории, в границах которой образуются земельные участки.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2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526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32640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17" name="Врезка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4.2.</w:t>
                                              </w:r>
                                              <w: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r>
                                              <w: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16" o:spid="_x0000_s16" o:spt="1" type="#_x0000_t1" style="position:absolute;z-index:251632640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4.2.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Источники данных: официальный портал города Ярославля (city-yaroslavl.ru):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- Постановление мэрии города Ярославля от 20 мая 2019 года № 575 «Об утверждении проекта планировки и проекта межевания территории,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ограниченной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Которосльной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набережной, створом ул. Чайковского, берегом р.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Которосли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просп.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Толбухина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Кировском районе города Ярославля»;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 Постановление мэрии города Ярославля от 12 августа 2019 года № 892 «Об утверждении проекта межевания территории по ул.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Красноборской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(в районе дома № 34) в Заволжском районе города Ярославля»;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- Постановление мэрии города Ярославля от 19 июля 2019 года № 695 «Об утверждении проекта межевания территории по Ленинградскому просп. (в районе д. № 37) в Дзержинском районе города Ярославля».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</w:tr>
          </w:tbl>
          <w:p>
            <w:pPr>
              <w:jc w:val="center"/>
              <w:spacing w:after="120"/>
            </w:pPr>
            <w:r/>
            <w:r/>
          </w:p>
        </w:tc>
      </w:tr>
      <w:tr>
        <w:tblPrEx/>
        <w:trPr>
          <w:cantSplit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Цели предлагаемого регулирования и их соответствие принципам правового регулирования, документам стратегического планирования города Костромы, иным программным документам 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cantSplit/>
          <w:trHeight w:val="298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8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763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510540" cy="195580"/>
                      <wp:effectExtent l="0" t="0" r="0" b="0"/>
                      <wp:wrapSquare wrapText="bothSides"/>
                      <wp:docPr id="18" name="Врезка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509760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92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92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92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numPr>
                                            <w:ilvl w:val="0"/>
                                            <w:numId w:val="7"/>
                                          </w:numPr>
                                          <w:ind w:left="0" w:firstLine="0"/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7" o:spid="_x0000_s17" o:spt="1" type="#_x0000_t1" style="position:absolute;z-index:251576320;o:allowoverlap:true;o:allowincell:true;mso-position-horizontal-relative:text;margin-left:0.00pt;mso-position-horizontal:absolute;mso-position-vertical-relative:text;margin-top:3.00pt;mso-position-vertical:absolute;width:40.2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92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9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ind w:left="0" w:firstLine="0"/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Цели предлагаемого регулирования: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0" w:type="dxa"/>
            <w:textDirection w:val="lrTb"/>
            <w:noWrap w:val="false"/>
          </w:tcPr>
          <w:p>
            <w:pPr>
              <w:pStyle w:val="1092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79392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53340</wp:posOffset>
                      </wp:positionV>
                      <wp:extent cx="541655" cy="208280"/>
                      <wp:effectExtent l="0" t="0" r="0" b="0"/>
                      <wp:wrapSquare wrapText="bothSides"/>
                      <wp:docPr id="19" name="Врезка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541655" cy="208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843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43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843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numPr>
                                            <w:ilvl w:val="0"/>
                                            <w:numId w:val="7"/>
                                          </w:numPr>
                                          <w:ind w:left="0" w:firstLine="0"/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wrap="square" lIns="0" tIns="0" rIns="0" bIns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8" o:spid="_x0000_s18" o:spt="1" type="#_x0000_t1" style="position:absolute;z-index:251579392;o:allowoverlap:true;o:allowincell:true;mso-position-horizontal-relative:text;margin-left:0.10pt;mso-position-horizontal:absolute;mso-position-vertical-relative:text;margin-top:4.20pt;mso-position-vertical:absolute;width:42.65pt;height:16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84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43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84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ind w:left="0" w:firstLine="0"/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Установленные сроки достижения   целей предлагаемого регулирования: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98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80" w:type="dxa"/>
            <w:textDirection w:val="lrTb"/>
            <w:noWrap w:val="false"/>
          </w:tcPr>
          <w:p>
            <w:pPr>
              <w:ind w:firstLine="851"/>
              <w:jc w:val="both"/>
              <w:widowControl/>
              <w:rPr>
                <w:rFonts w:ascii="Times New Roman" w:hAnsi="Times New Roman" w:eastAsiaTheme="minorHAnsi"/>
                <w:sz w:val="26"/>
                <w:szCs w:val="26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Целью принятия Проекта являются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местоположения границ образуемых земельных участков, в том числе, на которых расположены многоквартирные дома с элементами озеленения и благоустройства и иными предназначенными для обслуживания, эксплуатации и благоустройства жилых домов объектами.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r>
          </w:p>
          <w:p>
            <w:pPr>
              <w:ind w:firstLine="851"/>
              <w:jc w:val="both"/>
              <w:widowControl/>
              <w:rPr>
                <w:rFonts w:ascii="Times New Roman" w:hAnsi="Times New Roman" w:eastAsiaTheme="minorHAnsi"/>
                <w:sz w:val="26"/>
                <w:szCs w:val="26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Theme="minorHAnsi"/>
                <w:sz w:val="26"/>
                <w:szCs w:val="26"/>
              </w:rPr>
            </w:r>
          </w:p>
          <w:p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298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3571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0" name="Врезка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5.3.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9" o:spid="_x0000_s19" o:spt="1" type="#_x0000_t1" style="position:absolute;z-index:251635712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5.3.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Обоснование соответствия целей предлагаемого регулирования принципам правового регулирования, документам стратегического планирования города Костромы, иным программным документам: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Представленный Проект разработан в соответствии с Генеральным </w:t>
            </w:r>
            <w:hyperlink r:id="rId12" w:tooltip="consultantplus://offline/ref=3B12DBF9DA4F655A3950F706F739D7FE7793F5E3BB745CF96FD88E96074277859D524A668E09FE57A7B968P7iBJ" w:history="1">
              <w:r>
                <w:rPr>
                  <w:rStyle w:val="1054"/>
                  <w:rFonts w:ascii="Times New Roman" w:hAnsi="Times New Roman"/>
                  <w:sz w:val="24"/>
                  <w:szCs w:val="24"/>
                </w:rPr>
                <w:t xml:space="preserve">планом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города Костромы, утвержденным решением Думы города Костромы от 18 декабря 2008 года № 212, </w:t>
            </w:r>
            <w:hyperlink r:id="rId13" w:tooltip="consultantplus://offline/ref=3B12DBF9DA4F655A3950F706F739D7FE7793F5E3B57654F765D88E96074277859D524A668E09FE57A6BF68P7i8J" w:history="1">
              <w:r>
                <w:rPr>
                  <w:rStyle w:val="1054"/>
                  <w:rFonts w:ascii="Times New Roman" w:hAnsi="Times New Roman"/>
                  <w:sz w:val="24"/>
                  <w:szCs w:val="24"/>
                </w:rPr>
                <w:t xml:space="preserve">Правилами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землепользования и застройки города Костромы,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утвержденными постановлением Администрации города Костромы от 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июня 2021 года № 1130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Местными нормативами градостроительного проектирования города Костромы,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утвержденными постановлением Администрации города Костромы от 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июня 2021 года № 1129,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силами МКУ г. Костромы «Центр градостроительства»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570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8246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1" name="Врезка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5.4.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0" o:spid="_x0000_s20" o:spt="1" type="#_x0000_t1" style="position:absolute;z-index:251582464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5.4.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Иная информация о целях предлагаемого регулирования: - 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</w:tbl>
    <w:p>
      <w:pPr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</w:p>
    <w:p>
      <w:pPr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</w:p>
    <w:p>
      <w:pPr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</w:p>
    <w:tbl>
      <w:tblPr>
        <w:tblW w:w="9859" w:type="dxa"/>
        <w:tblInd w:w="-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5564"/>
        <w:gridCol w:w="4326"/>
      </w:tblGrid>
      <w:tr>
        <w:tblPrEx/>
        <w:trPr>
          <w:cantSplit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pStyle w:val="1113"/>
            </w:pPr>
            <w:r/>
            <w:r/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Описание предлагаемого регулирования и иных возможных способов решения проблемы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</w:tc>
      </w:tr>
      <w:tr>
        <w:tblPrEx/>
        <w:trPr>
          <w:cantSplit/>
          <w:trHeight w:val="766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pStyle w:val="1092"/>
              <w:ind w:firstLine="31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3980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2" name="Врезка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6.1.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1" o:spid="_x0000_s21" o:spt="1" type="#_x0000_t1" style="position:absolute;z-index:251639808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6.1.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      Описание предлагаемого способа решения проблемы и преодоления связанных с ней негативных эффектов: Для решения проблемы предлагается принятие Проекта.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1092"/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Предлагаемым к принятию Проектом предусматривается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земельных участков под объектами капитального строительства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путем образования границ земельных участков из земель, государственная собственность на которые не разграничена и перераспределения границ земельных участков с землями, государственная собственность на которые не разграничена,  красные линии улиц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trHeight w:val="540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highlight w:val="yellow"/>
                <w:lang w:eastAsia="ru-RU"/>
              </w:rPr>
            </w:r>
            <w:r>
              <w:rPr>
                <w:sz w:val="24"/>
                <w:szCs w:val="24"/>
                <w:highlight w:val="yellow"/>
                <w:lang w:eastAsia="ru-RU"/>
              </w:rPr>
            </w:r>
            <w:r>
              <w:rPr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4390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3" name="Врезка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6.2.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2" o:spid="_x0000_s22" o:spt="1" type="#_x0000_t1" style="position:absolute;z-index:251643904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6.2.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Описание иных способов решения проблемы (с указанием того, каким образом каждым из способов могла бы быть решена проблема): иных способов решения проблемы не имеется.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cantSplit/>
          <w:trHeight w:val="540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ind w:firstLine="851"/>
              <w:jc w:val="both"/>
              <w:widowControl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4800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4" name="Врезка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7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ffffff" w:fill="ffffff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6.3.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3" o:spid="_x0000_s23" o:spt="1" type="#_x0000_t1" style="position:absolute;z-index:251648000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ffffff" w:fill="ffffff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6.3.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Обоснование выбора предлагаемого способа решения проблемы: 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принимая во внимание требования земельного и градостроительного законодательства о формировании земельных участков под объектами капитального строительства, путем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образования границ земельных участков из земель, государственная собственность на которые не разграничена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 и перераспределения земельных участков с землями, государственная собственность на которые не разграничена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, а также установление красных линий только на основании утвержденной документации по планировке территории, иных способов решения проблемы не существует.</w:t>
            </w:r>
            <w:r>
              <w:rPr>
                <w:rFonts w:ascii="Times New Roman" w:hAnsi="Times New Roman"/>
                <w:i/>
                <w:sz w:val="26"/>
                <w:szCs w:val="26"/>
              </w:rPr>
            </w:r>
            <w:r>
              <w:rPr>
                <w:rFonts w:ascii="Times New Roman" w:hAnsi="Times New Roman"/>
                <w:i/>
                <w:sz w:val="26"/>
                <w:szCs w:val="26"/>
              </w:rPr>
            </w:r>
          </w:p>
          <w:p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sz w:val="26"/>
                <w:szCs w:val="26"/>
                <w:highlight w:val="yellow"/>
                <w:lang w:eastAsia="ru-RU"/>
              </w:rPr>
            </w:pPr>
            <w:r>
              <w:rPr>
                <w:sz w:val="26"/>
                <w:szCs w:val="26"/>
                <w:highlight w:val="yellow"/>
                <w:lang w:eastAsia="ru-RU"/>
              </w:rPr>
            </w:r>
            <w:r>
              <w:rPr>
                <w:sz w:val="26"/>
                <w:szCs w:val="26"/>
                <w:highlight w:val="yellow"/>
                <w:lang w:eastAsia="ru-RU"/>
              </w:rPr>
            </w:r>
            <w:r>
              <w:rPr>
                <w:sz w:val="26"/>
                <w:szCs w:val="26"/>
                <w:highlight w:val="yellow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5209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5" name="Врезка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6.4.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4" o:spid="_x0000_s24" o:spt="1" type="#_x0000_t1" style="position:absolute;z-index:25165209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6.4.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Иная информация о предлагаемом способе решения проблемы: </w:t>
            </w:r>
            <w:r>
              <w:rPr>
                <w:sz w:val="24"/>
                <w:szCs w:val="24"/>
                <w:lang w:eastAsia="ru-RU"/>
              </w:rPr>
              <w:t xml:space="preserve">отсутствует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sz w:val="26"/>
                <w:szCs w:val="26"/>
                <w:highlight w:val="yellow"/>
                <w:lang w:eastAsia="ru-RU"/>
              </w:rPr>
            </w:pPr>
            <w:r>
              <w:rPr>
                <w:sz w:val="26"/>
                <w:szCs w:val="26"/>
                <w:highlight w:val="yellow"/>
                <w:lang w:eastAsia="ru-RU"/>
              </w:rPr>
            </w:r>
            <w:r>
              <w:rPr>
                <w:sz w:val="26"/>
                <w:szCs w:val="26"/>
                <w:highlight w:val="yellow"/>
                <w:lang w:eastAsia="ru-RU"/>
              </w:rPr>
            </w:r>
            <w:r>
              <w:rPr>
                <w:sz w:val="26"/>
                <w:szCs w:val="26"/>
                <w:highlight w:val="yellow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keepNext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Основные гру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ппы субъектов инвестиционной,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регулированием, оценка количества таких субъектов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Next/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</w:p>
        </w:tc>
      </w:tr>
      <w:tr>
        <w:tblPrEx/>
        <w:trPr>
          <w:trHeight w:val="111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b/>
                <w:bCs/>
                <w:color w:val="7f7f7f"/>
                <w:sz w:val="26"/>
                <w:szCs w:val="26"/>
                <w:highlight w:val="yellow"/>
              </w:rPr>
            </w:pPr>
            <w:r>
              <w:rPr>
                <w:b/>
                <w:bCs/>
                <w:color w:val="7f7f7f"/>
                <w:sz w:val="26"/>
                <w:szCs w:val="26"/>
                <w:highlight w:val="yellow"/>
              </w:rPr>
            </w:r>
            <w:r>
              <w:rPr>
                <w:b/>
                <w:bCs/>
                <w:color w:val="7f7f7f"/>
                <w:sz w:val="26"/>
                <w:szCs w:val="26"/>
                <w:highlight w:val="yellow"/>
              </w:rPr>
            </w:r>
            <w:r>
              <w:rPr>
                <w:b/>
                <w:bCs/>
                <w:color w:val="7f7f7f"/>
                <w:sz w:val="26"/>
                <w:szCs w:val="26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5501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5619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6" name="Врезка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ind w:left="0" w:firstLine="0"/>
                                          <w:jc w:val="left"/>
                                          <w:spacing w:before="0" w:after="0"/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7.1.</w:t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5" o:spid="_x0000_s25" o:spt="1" type="#_x0000_t1" style="position:absolute;z-index:251656192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9"/>
                                    <w:numPr>
                                      <w:ilvl w:val="0"/>
                                      <w:numId w:val="0"/>
                                    </w:numPr>
                                    <w:ind w:left="0" w:firstLine="0"/>
                                    <w:jc w:val="left"/>
                                    <w:spacing w:before="0" w:after="0"/>
                                    <w:rPr>
                                      <w:rStyle w:val="1056"/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  <w:t xml:space="preserve">7.1.</w:t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Группа участников отношений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4277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6028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7" name="Врезка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ind w:left="0" w:firstLine="0"/>
                                          <w:jc w:val="left"/>
                                          <w:spacing w:before="0" w:after="0"/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7.2.</w:t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6" o:spid="_x0000_s26" o:spt="1" type="#_x0000_t1" style="position:absolute;z-index:251660288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9"/>
                                    <w:numPr>
                                      <w:ilvl w:val="0"/>
                                      <w:numId w:val="0"/>
                                    </w:numPr>
                                    <w:ind w:left="0" w:firstLine="0"/>
                                    <w:jc w:val="left"/>
                                    <w:spacing w:before="0" w:after="0"/>
                                    <w:rPr>
                                      <w:rStyle w:val="1056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  <w:t xml:space="preserve">7.2.</w:t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Оценка количества участников отношений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b/>
                <w:bCs/>
                <w:sz w:val="26"/>
                <w:szCs w:val="26"/>
                <w:highlight w:val="yellow"/>
                <w:lang w:eastAsia="ru-RU"/>
              </w:rPr>
            </w:pPr>
            <w:r>
              <w:rPr>
                <w:b/>
                <w:bCs/>
                <w:sz w:val="26"/>
                <w:szCs w:val="26"/>
                <w:highlight w:val="yellow"/>
                <w:lang w:eastAsia="ru-RU"/>
              </w:rPr>
            </w:r>
            <w:r>
              <w:rPr>
                <w:b/>
                <w:bCs/>
                <w:sz w:val="26"/>
                <w:szCs w:val="26"/>
                <w:highlight w:val="yellow"/>
                <w:lang w:eastAsia="ru-RU"/>
              </w:rPr>
            </w:r>
            <w:r>
              <w:rPr>
                <w:b/>
                <w:bCs/>
                <w:sz w:val="26"/>
                <w:szCs w:val="26"/>
                <w:highlight w:val="yellow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5501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равообладатели земельных участков, объектов капитального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42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Учитывая, что проектом межевания территории образуются 9 земельных участков, то интересы будут затронуты правообладателей 9 объектов недвижимости.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360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b/>
                <w:bCs/>
                <w:sz w:val="26"/>
                <w:szCs w:val="26"/>
                <w:highlight w:val="yellow"/>
              </w:rPr>
            </w:pPr>
            <w:r>
              <w:rPr>
                <w:b/>
                <w:bCs/>
                <w:sz w:val="26"/>
                <w:szCs w:val="26"/>
                <w:highlight w:val="yellow"/>
              </w:rPr>
            </w:r>
            <w:r>
              <w:rPr>
                <w:b/>
                <w:bCs/>
                <w:sz w:val="26"/>
                <w:szCs w:val="26"/>
                <w:highlight w:val="yellow"/>
              </w:rPr>
            </w:r>
            <w:r>
              <w:rPr>
                <w:b/>
                <w:bCs/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6438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8" name="Врезка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ind w:left="0" w:firstLine="0"/>
                                          <w:jc w:val="left"/>
                                          <w:spacing w:before="0" w:after="0"/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7.3.</w:t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7" o:spid="_x0000_s27" o:spt="1" type="#_x0000_t1" style="position:absolute;z-index:251664384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9"/>
                                    <w:numPr>
                                      <w:ilvl w:val="0"/>
                                      <w:numId w:val="0"/>
                                    </w:numPr>
                                    <w:ind w:left="0" w:firstLine="0"/>
                                    <w:jc w:val="left"/>
                                    <w:spacing w:before="0" w:after="0"/>
                                    <w:rPr>
                                      <w:rStyle w:val="1056"/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  <w:t xml:space="preserve">7.3.</w:t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Источники данных: Данные, имеющиеся в Управления архитектуры и градостроительства Администрации города Костромы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60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Новые функции, полномочия, обязанности и права органов местного самоуправления города Костромы или сведения об их изменении, а также порядок их реализации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rStyle w:val="1056"/>
                <w:b/>
                <w:bCs/>
                <w:sz w:val="26"/>
                <w:szCs w:val="26"/>
                <w:highlight w:val="yellow"/>
              </w:rPr>
            </w:pPr>
            <w:r>
              <w:rPr>
                <w:b/>
                <w:bCs/>
                <w:sz w:val="26"/>
                <w:szCs w:val="26"/>
                <w:highlight w:val="yellow"/>
              </w:rPr>
            </w:r>
            <w:r>
              <w:rPr>
                <w:rStyle w:val="1056"/>
                <w:b/>
                <w:bCs/>
                <w:sz w:val="26"/>
                <w:szCs w:val="26"/>
                <w:highlight w:val="yellow"/>
              </w:rPr>
            </w:r>
            <w:r>
              <w:rPr>
                <w:rStyle w:val="1056"/>
                <w:b/>
                <w:bCs/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tbl>
            <w:tblPr>
              <w:tblW w:w="9526" w:type="dxa"/>
              <w:tblInd w:w="10" w:type="dxa"/>
              <w:tblLook w:val="04A0" w:firstRow="1" w:lastRow="0" w:firstColumn="1" w:lastColumn="0" w:noHBand="0" w:noVBand="1"/>
            </w:tblPr>
            <w:tblGrid>
              <w:gridCol w:w="2994"/>
              <w:gridCol w:w="3115"/>
              <w:gridCol w:w="3417"/>
            </w:tblGrid>
            <w:tr>
              <w:tblPrEx/>
              <w:trPr>
                <w:trHeight w:val="111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4" w:type="dxa"/>
                  <w:textDirection w:val="lrTb"/>
                  <w:noWrap w:val="false"/>
                </w:tcPr>
                <w:p>
                  <w:pPr>
                    <w:pStyle w:val="859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54496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29" name="Врезка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8.1.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28" o:spid="_x0000_s28" o:spt="1" type="#_x0000_t1" style="position:absolute;z-index:25175449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8.1.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Style w:val="1056"/>
                      <w:rFonts w:ascii="Times New Roman" w:hAnsi="Times New Roman" w:cs="Times New Roman"/>
                      <w:b w:val="0"/>
                      <w:sz w:val="24"/>
                      <w:szCs w:val="24"/>
                      <w:lang w:eastAsia="ru-RU"/>
                    </w:rPr>
                    <w:t xml:space="preserve">Описание новых или изменения существующих функций, полномочий, обязанностей или прав</w:t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5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68480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30" name="Врезка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8.2.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29" o:spid="_x0000_s29" o:spt="1" type="#_x0000_t1" style="position:absolute;z-index:251668480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8.2.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Порядок реализации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417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72576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31" name="Врезка2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8.3.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0" o:spid="_x0000_s30" o:spt="1" type="#_x0000_t1" style="position:absolute;z-index:25167257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8.3.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 Оценка изменения трудозатрат и потребностей в иных ресурсах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4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after="0"/>
                    <w:shd w:val="clear" w:color="ffffff" w:fill="ffffff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Обеспечить образование земельных участков в соответствии с проектом межевания территории.</w:t>
                  </w:r>
                  <w:r/>
                </w:p>
                <w:p>
                  <w:pPr>
                    <w:ind w:left="0" w:right="0" w:firstLine="0"/>
                    <w:jc w:val="both"/>
                    <w:spacing w:before="0" w:after="0"/>
                    <w:shd w:val="clear" w:color="ffffff" w:fill="ffffff"/>
                    <w:tabs>
                      <w:tab w:val="left" w:pos="720" w:leader="none"/>
                    </w:tabs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При образовании земельных участков в границах квартала учитывать красную линию.</w:t>
                  </w:r>
                  <w:r/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При выдаче исходно-разрешительной документации учитывать параметры и виды разрешенного использования земельных участков, установленных Правилами землепользования и застройки города Костромы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5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after="0"/>
                    <w:shd w:val="clear" w:color="ffffff" w:fill="ffffff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Постановка земельных участков на государственный кадастровый учет в соответствии с утвержденной документацией по планировке территории.</w:t>
                  </w:r>
                  <w:r/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417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 рамках имеющейся штатной численности Управления архитектуры и градостроительства Администрации города Костромы.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numPr>
                <w:ilvl w:val="0"/>
                <w:numId w:val="3"/>
              </w:numPr>
              <w:ind w:left="0" w:firstLine="0"/>
              <w:jc w:val="center"/>
              <w:spacing w:before="120" w:after="1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Оценка соответствующих расходов (возможных поступлений) бюджета города Костромы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cantSplit/>
          <w:trHeight w:val="566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color w:val="7f7f7f"/>
                <w:sz w:val="26"/>
                <w:szCs w:val="26"/>
                <w:highlight w:val="yellow"/>
              </w:rPr>
            </w:pPr>
            <w:r>
              <w:rPr>
                <w:color w:val="7f7f7f"/>
                <w:sz w:val="26"/>
                <w:szCs w:val="26"/>
                <w:highlight w:val="yellow"/>
              </w:rPr>
            </w:r>
            <w:r>
              <w:rPr>
                <w:color w:val="7f7f7f"/>
                <w:sz w:val="26"/>
                <w:szCs w:val="26"/>
                <w:highlight w:val="yellow"/>
              </w:rPr>
            </w:r>
            <w:r>
              <w:rPr>
                <w:color w:val="7f7f7f"/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tbl>
            <w:tblPr>
              <w:tblW w:w="9270" w:type="dxa"/>
              <w:tblLook w:val="04A0" w:firstRow="1" w:lastRow="0" w:firstColumn="1" w:lastColumn="0" w:noHBand="0" w:noVBand="1"/>
            </w:tblPr>
            <w:tblGrid>
              <w:gridCol w:w="3708"/>
              <w:gridCol w:w="3262"/>
              <w:gridCol w:w="2300"/>
            </w:tblGrid>
            <w:tr>
              <w:tblPrEx/>
              <w:trPr>
                <w:trHeight w:val="1432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76672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32" name="Врезка3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1" o:spid="_x0000_s31" o:spt="1" type="#_x0000_t1" style="position:absolute;z-index:251676672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Наименование новой  или изменяемой функции, полномочия, обязанности или права: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80768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33" name="Врезка3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>
                                            <w:trHeight w:val="56"/>
                                          </w:trPr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2" o:spid="_x0000_s32" o:spt="1" type="#_x0000_t1" style="position:absolute;z-index:251680768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>
                                      <w:trHeight w:val="56"/>
                                    </w:trPr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Описание видов расходов (возможных поступлений) бюджетов бюджетной системы Российской Федерации: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84864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34" name="Врезка3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  <w:rPr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  <w:lang w:eastAsia="ru-RU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  <w:lang w:eastAsia="ru-RU"/>
                                                </w:rPr>
                                                <w:t xml:space="preserve">9.3.</w:t>
                                              </w: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  <w:lang w:eastAsia="ru-RU"/>
                                                </w:rPr>
                                              </w: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  <w:lang w:eastAsia="ru-RU"/>
                                                </w:rPr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3" o:spid="_x0000_s33" o:spt="1" type="#_x0000_t1" style="position:absolute;z-index:251684864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  <w:t xml:space="preserve">9.3.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Количественная оценка расходов (возможных поступлений)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rHeight w:val="309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after="0"/>
                    <w:shd w:val="clear" w:color="ffffff" w:fill="ffffff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Обеспечить образование земельных участков в соответствии с проектом межевания территории.</w:t>
                  </w:r>
                  <w:r>
                    <w:rPr>
                      <w:sz w:val="18"/>
                    </w:rPr>
                  </w:r>
                  <w:r/>
                </w:p>
                <w:p>
                  <w:pPr>
                    <w:ind w:left="0" w:right="0" w:firstLine="0"/>
                    <w:jc w:val="both"/>
                    <w:spacing w:before="0" w:after="0"/>
                    <w:shd w:val="clear" w:color="ffffff" w:fill="ffffff"/>
                    <w:tabs>
                      <w:tab w:val="left" w:pos="720" w:leader="none"/>
                    </w:tabs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При образовании земельных участков в границах квартала учитывать красную линию.</w:t>
                  </w:r>
                  <w:r>
                    <w:rPr>
                      <w:sz w:val="18"/>
                    </w:rPr>
                  </w:r>
                  <w:r/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При выдаче исходно-разрешительной документации учитывать параметры и виды разрешенного использования земельных участков, установленных  Правилами землепользования и застройки города Костромы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after="0"/>
                    <w:shd w:val="clear" w:color="ffffff" w:fill="ffffff"/>
                    <w:rPr>
                      <w:strike/>
                      <w:highlight w:val="red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strike/>
                      <w:color w:val="000000"/>
                      <w:sz w:val="24"/>
                      <w:highlight w:val="red"/>
                    </w:rPr>
                  </w:r>
                  <w:r>
                    <w:rPr>
                      <w:strike/>
                      <w:highlight w:val="red"/>
                    </w:rPr>
                  </w:r>
                  <w:r>
                    <w:rPr>
                      <w:strike/>
                      <w:highlight w:val="red"/>
                    </w:rPr>
                  </w:r>
                </w:p>
                <w:p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rHeight w:val="639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2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88960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35" name="Врезка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9.4.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4" o:spid="_x0000_s34" o:spt="1" type="#_x0000_t1" style="position:absolute;z-index:251688960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Наименование органа: Администрация города Костромы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vMerge w:val="restart"/>
                  <w:textDirection w:val="lrTb"/>
                  <w:noWrap w:val="false"/>
                </w:tcPr>
                <w:p>
                  <w:pPr>
                    <w:jc w:val="both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93056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1180" cy="195580"/>
                            <wp:effectExtent l="0" t="0" r="0" b="0"/>
                            <wp:wrapSquare wrapText="bothSides"/>
                            <wp:docPr id="36" name="Врезка3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55044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48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5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48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9.4.1.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5" o:spid="_x0000_s35" o:spt="1" type="#_x0000_t1" style="position:absolute;z-index:251693056;o:allowoverlap:true;o:allowincell:true;mso-position-horizontal-relative:text;margin-left:-7.35pt;mso-position-horizontal:absolute;mso-position-vertical-relative:text;margin-top:1.45pt;mso-position-vertical:absolute;width:43.4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48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5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4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9.4.1.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Администрация города Костромы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97152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1180" cy="195580"/>
                            <wp:effectExtent l="0" t="0" r="0" b="0"/>
                            <wp:wrapSquare wrapText="bothSides"/>
                            <wp:docPr id="37" name="Врезка3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55044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48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5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48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9.4.2.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6" o:spid="_x0000_s36" o:spt="1" type="#_x0000_t1" style="position:absolute;z-index:251697152;o:allowoverlap:true;o:allowincell:true;mso-position-horizontal-relative:text;margin-left:-7.35pt;mso-position-horizontal:absolute;mso-position-vertical-relative:text;margin-top:1.45pt;mso-position-vertical:absolute;width:43.4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48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5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4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9.4.2.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Единовременные расходы в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году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vMerge w:val="continue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01248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1180" cy="195580"/>
                            <wp:effectExtent l="0" t="0" r="0" b="0"/>
                            <wp:wrapSquare wrapText="bothSides"/>
                            <wp:docPr id="38" name="Врезка3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55044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898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898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898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9.4.3.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7" o:spid="_x0000_s37" o:spt="1" type="#_x0000_t1" style="position:absolute;z-index:251701248;o:allowoverlap:true;o:allowincell:true;mso-position-horizontal-relative:text;margin-left:-7.35pt;mso-position-horizontal:absolute;mso-position-vertical-relative:text;margin-top:1.45pt;mso-position-vertical:absolute;width:43.4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898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98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89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9.4.3.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Периодические расходы в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году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vMerge w:val="continue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05344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1180" cy="195580"/>
                            <wp:effectExtent l="0" t="0" r="0" b="0"/>
                            <wp:wrapSquare wrapText="bothSides"/>
                            <wp:docPr id="39" name="Врезка3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55044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48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5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48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9.4.4.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8" o:spid="_x0000_s38" o:spt="1" type="#_x0000_t1" style="position:absolute;z-index:251705344;o:allowoverlap:true;o:allowincell:true;mso-position-horizontal-relative:text;margin-left:-7.35pt;mso-position-horizontal:absolute;mso-position-vertical-relative:text;margin-top:1.45pt;mso-position-vertical:absolute;width:43.4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48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5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4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9.4.4.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Возможные поступления за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154"/>
              </w:trPr>
              <w:tc>
                <w:tcPr>
                  <w:gridSpan w:val="2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69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09440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0" name="Врезка3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9.5.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9" o:spid="_x0000_s39" o:spt="1" type="#_x0000_t1" style="position:absolute;z-index:251709440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9.5.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Итого единовременные расходы: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304"/>
              </w:trPr>
              <w:tc>
                <w:tcPr>
                  <w:gridSpan w:val="2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69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13536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1" name="Врезка3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9.6.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0" o:spid="_x0000_s40" o:spt="1" type="#_x0000_t1" style="position:absolute;z-index:251713536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9.6.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Итого периодические расходы за год: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23"/>
              </w:trPr>
              <w:tc>
                <w:tcPr>
                  <w:gridSpan w:val="2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69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17632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2" name="Врезка4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9.7.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1" o:spid="_x0000_s41" o:spt="1" type="#_x0000_t1" style="position:absolute;z-index:251717632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9.7.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Итого возможные поступления за год: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23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2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21728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3" name="Врезка4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9.8.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2" o:spid="_x0000_s42" o:spt="1" type="#_x0000_t1" style="position:absolute;z-index:251721728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9.8.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Иные сведения о расходах (возможных поступлениях) бюджета города Костромы: 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23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270" w:type="dxa"/>
                  <w:textDirection w:val="lrTb"/>
                  <w:noWrap w:val="false"/>
                </w:tcPr>
                <w:p>
                  <w:pPr>
                    <w:pStyle w:val="859"/>
                    <w:numPr>
                      <w:ilvl w:val="0"/>
                      <w:numId w:val="2"/>
                    </w:numPr>
                    <w:jc w:val="both"/>
                    <w:spacing w:before="0" w:after="0"/>
                  </w:pPr>
                  <w:r>
                    <w:rPr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25824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4" name="Врезка4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9.9.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3" o:spid="_x0000_s43" o:spt="1" type="#_x0000_t1" style="position:absolute;z-index:251725824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9.9.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Style w:val="1056"/>
                      <w:rFonts w:ascii="Times New Roman" w:hAnsi="Times New Roman" w:cs="Times New Roman"/>
                      <w:sz w:val="24"/>
                      <w:szCs w:val="24"/>
                    </w:rPr>
                    <w:t xml:space="preserve">Источники данных: </w:t>
                  </w:r>
                  <w:r/>
                </w:p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rHeight w:val="23" w:hRule="exact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2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 w:cs="Times New Roman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none"/>
                    </w:rPr>
                    <w:t xml:space="preserve">Источники данных: НЦС 81-02-03-2017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none"/>
                    </w:rPr>
                  </w:r>
                </w:p>
              </w:tc>
            </w:tr>
          </w:tbl>
          <w:p>
            <w:pPr>
              <w:spacing w:before="120" w:after="120"/>
              <w:rPr>
                <w:color w:val="7f7f7f"/>
                <w:sz w:val="22"/>
                <w:szCs w:val="22"/>
                <w:highlight w:val="yellow"/>
              </w:rPr>
            </w:pPr>
            <w:r>
              <w:rPr>
                <w:color w:val="7f7f7f"/>
                <w:sz w:val="22"/>
                <w:szCs w:val="22"/>
                <w:highlight w:val="yellow"/>
              </w:rPr>
            </w:r>
            <w:r>
              <w:rPr>
                <w:color w:val="7f7f7f"/>
                <w:sz w:val="22"/>
                <w:szCs w:val="22"/>
                <w:highlight w:val="yellow"/>
              </w:rPr>
            </w:r>
            <w:r>
              <w:rPr>
                <w:color w:val="7f7f7f"/>
                <w:sz w:val="22"/>
                <w:szCs w:val="22"/>
                <w:highlight w:val="yellow"/>
              </w:rPr>
            </w:r>
          </w:p>
        </w:tc>
      </w:tr>
      <w:tr>
        <w:tblPrEx/>
        <w:trPr>
          <w:trHeight w:val="990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color w:val="7f7f7f"/>
                <w:sz w:val="26"/>
                <w:szCs w:val="26"/>
                <w:highlight w:val="yellow"/>
              </w:rPr>
            </w:pPr>
            <w:r>
              <w:rPr>
                <w:color w:val="7f7f7f"/>
                <w:sz w:val="26"/>
                <w:szCs w:val="26"/>
                <w:highlight w:val="yellow"/>
              </w:rPr>
            </w:r>
            <w:r>
              <w:rPr>
                <w:color w:val="7f7f7f"/>
                <w:sz w:val="26"/>
                <w:szCs w:val="26"/>
                <w:highlight w:val="yellow"/>
              </w:rPr>
            </w:r>
            <w:r>
              <w:rPr>
                <w:color w:val="7f7f7f"/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Новые обязанности или ограничения для субъектов инвестиционной, предпринимательской и иной экономической деятельности либо изменение содержания существующих обязанностей и ограничений, а также порядок организации их исполнения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tbl>
            <w:tblPr>
              <w:tblW w:w="9526" w:type="dxa"/>
              <w:tblInd w:w="10" w:type="dxa"/>
              <w:tblLook w:val="04A0" w:firstRow="1" w:lastRow="0" w:firstColumn="1" w:lastColumn="0" w:noHBand="0" w:noVBand="1"/>
            </w:tblPr>
            <w:tblGrid>
              <w:gridCol w:w="2994"/>
              <w:gridCol w:w="3115"/>
              <w:gridCol w:w="3417"/>
            </w:tblGrid>
            <w:tr>
              <w:tblPrEx/>
              <w:trPr>
                <w:cantSplit/>
                <w:trHeight w:val="111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4" w:type="dxa"/>
                  <w:textDirection w:val="lrTb"/>
                  <w:noWrap w:val="false"/>
                </w:tcPr>
                <w:p>
                  <w:pPr>
                    <w:pStyle w:val="859"/>
                    <w:numPr>
                      <w:ilvl w:val="0"/>
                      <w:numId w:val="0"/>
                    </w:num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58592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5" name="Врезка4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10.1.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4" o:spid="_x0000_s44" o:spt="1" type="#_x0000_t1" style="position:absolute;z-index:251758592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10.1.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Style w:val="1056"/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  <w:t xml:space="preserve">Группа участников отношений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5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38112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6" name="Врезка4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10.2.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5" o:spid="_x0000_s45" o:spt="1" type="#_x0000_t1" style="position:absolute;z-index:251738112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10.2.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Описание новых или изменения существующих обязанностей и ограничений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417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29920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7" name="Врезка4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10.3.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6" o:spid="_x0000_s46" o:spt="1" type="#_x0000_t1" style="position:absolute;z-index:251729920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10.3.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Порядок организации исполнения обязанностей и ограничений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blPrEx/>
              <w:trPr>
                <w:trHeight w:val="28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4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Правообладатели земельных участков, объектов капитального строительства.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5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Вводятся ограничения для субъектов инвестиционной, предпринимательской, и иной экономической  деятельности после постановки на государственный кадастровый учет земельных участков осуществлять строительную деятельность на образуемых земельных участках в соо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тветствии с параметрами и видами разрешенного использования, установленными Правилами землепользования и застройки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417" w:type="dxa"/>
                  <w:textDirection w:val="lrTb"/>
                  <w:noWrap w:val="false"/>
                </w:tcPr>
                <w:p>
                  <w:pPr>
                    <w:ind w:firstLine="34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После утверждения проекта межевания территории, в установленном порядке заключить со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глашение о перераспределении земельных участков в соответствии с утвержденной документацией по планировке территории. Правообладателям земельных участков выполнить процедуру по постановке образованных земельных участков на государственный кадастровый учет.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 Оформить права на образованные земельные участки под объектами недвижимости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r>
                </w:p>
              </w:tc>
            </w:tr>
          </w:tbl>
          <w:p>
            <w:pPr>
              <w:rPr>
                <w:color w:val="7f7f7f"/>
                <w:sz w:val="26"/>
                <w:szCs w:val="26"/>
                <w:highlight w:val="yellow"/>
              </w:rPr>
            </w:pPr>
            <w:r>
              <w:rPr>
                <w:color w:val="7f7f7f"/>
                <w:sz w:val="26"/>
                <w:szCs w:val="26"/>
                <w:highlight w:val="yellow"/>
              </w:rPr>
            </w:r>
            <w:r>
              <w:rPr>
                <w:color w:val="7f7f7f"/>
                <w:sz w:val="26"/>
                <w:szCs w:val="26"/>
                <w:highlight w:val="yellow"/>
              </w:rPr>
            </w:r>
            <w:r>
              <w:rPr>
                <w:color w:val="7f7f7f"/>
                <w:sz w:val="26"/>
                <w:szCs w:val="26"/>
                <w:highlight w:val="yellow"/>
              </w:rPr>
            </w:r>
          </w:p>
        </w:tc>
      </w:tr>
      <w:tr>
        <w:tblPrEx/>
        <w:trPr>
          <w:gridBefore w:val="1"/>
          <w:trHeight w:val="299"/>
        </w:trPr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color w:val="7f7f7f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7f7f7f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b/>
                <w:bCs/>
                <w:color w:val="7f7f7f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b/>
                <w:bCs/>
                <w:color w:val="7f7f7f"/>
                <w:sz w:val="26"/>
                <w:szCs w:val="26"/>
                <w:highlight w:val="yellow"/>
              </w:rPr>
            </w:r>
          </w:p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Оценка расходов субъектов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инвестиционной,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предпринимательской и иной экономической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tbl>
            <w:tblPr>
              <w:tblW w:w="9634" w:type="dxa"/>
              <w:tblInd w:w="10" w:type="dxa"/>
              <w:tblLook w:val="04A0" w:firstRow="1" w:lastRow="0" w:firstColumn="1" w:lastColumn="0" w:noHBand="0" w:noVBand="1"/>
            </w:tblPr>
            <w:tblGrid>
              <w:gridCol w:w="2996"/>
              <w:gridCol w:w="3110"/>
              <w:gridCol w:w="3528"/>
            </w:tblGrid>
            <w:tr>
              <w:tblPrEx/>
              <w:trPr>
                <w:cantSplit/>
                <w:trHeight w:val="111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6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34016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8" name="Врезка4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88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11.1.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7" o:spid="_x0000_s47" o:spt="1" type="#_x0000_t1" style="position:absolute;z-index:251734016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88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11.1.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Группа участников отношений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0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42208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9" name="Врезка4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11.2.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8" o:spid="_x0000_s48" o:spt="1" type="#_x0000_t1" style="position:absolute;z-index:251742208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11.2.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Описание новых или изменения существующих обязанностей и ограничений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528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46304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0" name="Врезка4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11.3.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9" o:spid="_x0000_s49" o:spt="1" type="#_x0000_t1" style="position:absolute;z-index:251746304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11.3.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Описание и оценка видов расходов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blPrEx/>
              <w:trPr>
                <w:trHeight w:val="28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6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правообладатели земельных участков, объектов капитального строительства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0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Вводятся ограничения для субъектов инвестиционной, предпринимательской, и иной экономической  деятельности после постановки на государственный кадастровый учет земельных участков осуществлять строительную деятельность на образуемых земельных участках в соо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тветствии с параметрами и видами разрешенного использования, установленными Правилами землепользования и застройки города Костромы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528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Точную стоимость расходов определить не представляется возможным.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283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634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50400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1" name="Врезка5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88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11.4.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0" o:spid="_x0000_s50" o:spt="1" type="#_x0000_t1" style="position:absolute;z-index:251750400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88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11.4.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Источники данных: Интернет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</w:tr>
    </w:tbl>
    <w:p>
      <w:pPr>
        <w:jc w:val="both"/>
        <w:spacing w:line="360" w:lineRule="auto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</w:p>
    <w:tbl>
      <w:tblPr>
        <w:tblW w:w="4900" w:type="pct"/>
        <w:tblInd w:w="-108" w:type="dxa"/>
        <w:tblLook w:val="04A0" w:firstRow="1" w:lastRow="0" w:firstColumn="1" w:lastColumn="0" w:noHBand="0" w:noVBand="1"/>
      </w:tblPr>
      <w:tblGrid>
        <w:gridCol w:w="9746"/>
      </w:tblGrid>
      <w:tr>
        <w:tblPrEx/>
        <w:trPr>
          <w:cantSplit/>
        </w:trPr>
        <w:tc>
          <w:tcPr>
            <w:shd w:val="clear" w:color="auto" w:fill="auto"/>
            <w:tcBorders>
              <w:bottom w:val="single" w:color="000000" w:sz="4" w:space="0"/>
            </w:tcBorders>
            <w:tcW w:w="9445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keepNext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Риски решения проблемы предложенным способом регулирования и риски негативных последствий, а также описание методов контроля эффективности избранного способа достижения целей регулирования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tbl>
            <w:tblPr>
              <w:tblW w:w="9634" w:type="dxa"/>
              <w:tblInd w:w="10" w:type="dxa"/>
              <w:tblLook w:val="04A0" w:firstRow="1" w:lastRow="0" w:firstColumn="1" w:lastColumn="0" w:noHBand="0" w:noVBand="1"/>
            </w:tblPr>
            <w:tblGrid>
              <w:gridCol w:w="2680"/>
              <w:gridCol w:w="2690"/>
              <w:gridCol w:w="2501"/>
              <w:gridCol w:w="1763"/>
            </w:tblGrid>
            <w:tr>
              <w:tblPrEx/>
              <w:trPr>
                <w:cantSplit/>
                <w:trHeight w:val="111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679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63872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2" name="Врезка5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9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12.1.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1" o:spid="_x0000_s51" o:spt="1" type="#_x0000_t1" style="position:absolute;z-index:251663872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9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12.1.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Риски решения проблемы предложенным способом и риски негативных последствий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690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65920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3" name="Врезка5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12.2.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2" o:spid="_x0000_s52" o:spt="1" type="#_x0000_t1" style="position:absolute;z-index:251665920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12.2.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Оценки вероятности наступления рисков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501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66944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551180" cy="195580"/>
                            <wp:effectExtent l="0" t="0" r="0" b="0"/>
                            <wp:wrapSquare wrapText="bothSides"/>
                            <wp:docPr id="54" name="Врезка5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55044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856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85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85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12.3</w:t>
                                              </w: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sz w:val="24"/>
                                                  <w:szCs w:val="26"/>
                                                </w:rPr>
                                                <w:t xml:space="preserve">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3" o:spid="_x0000_s53" o:spt="1" type="#_x0000_t1" style="position:absolute;z-index:251666944;o:allowoverlap:true;o:allowincell:true;mso-position-horizontal-relative:text;mso-position-horizontal:left;mso-position-vertical-relative:text;margin-top:1.45pt;mso-position-vertical:absolute;width:43.4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856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5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85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12.3</w:t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  <w:t xml:space="preserve">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Методы контроля эффективности избранного способа достижения целей регулирования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763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68992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5" name="Врезка5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12.4.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4" o:spid="_x0000_s54" o:spt="1" type="#_x0000_t1" style="position:absolute;z-index:251668992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12.4.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  <w:p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Степень контроля рисков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28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679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При утверждении границ земельных участков в проекте межевания территории могут возникнуть незначительные риски для развития малого и среднего предпринимательства, связанные с увеличением расходов в связи с соблюдением установленных требований по видам разр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ешенного использования и параметрам при необходимости выполнения реконструкции объектов капитального строительства в соответствии с утвержденной документацией по планировке территории.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690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Вероятность наступления рисков низкая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501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Достижение эффективности выбранного способа достижения поставленных целей возможно путем мониторинга поступивших заявлений о выдаче разрешения на строительство, реконструкцию объектов капитального строительства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763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средняя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420"/>
              </w:trPr>
              <w:tc>
                <w:tcPr>
                  <w:gridSpan w:val="4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633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70016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6" name="Врезка5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9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12.5.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5" o:spid="_x0000_s55" o:spt="1" type="#_x0000_t1" style="position:absolute;z-index:251670016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9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12.5.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Источники данных: 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keepNext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</w:tr>
    </w:tbl>
    <w:p>
      <w:pPr>
        <w:jc w:val="both"/>
        <w:spacing w:line="360" w:lineRule="auto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126"/>
        <w:gridCol w:w="227"/>
        <w:gridCol w:w="1008"/>
        <w:gridCol w:w="607"/>
        <w:gridCol w:w="2996"/>
        <w:gridCol w:w="42"/>
        <w:gridCol w:w="787"/>
        <w:gridCol w:w="1629"/>
        <w:gridCol w:w="216"/>
      </w:tblGrid>
      <w:tr>
        <w:tblPrEx/>
        <w:trPr>
          <w:cantSplit/>
        </w:trPr>
        <w:tc>
          <w:tcPr>
            <w:gridSpan w:val="8"/>
            <w:shd w:val="clear" w:color="auto" w:fill="auto"/>
            <w:tcBorders>
              <w:bottom w:val="single" w:color="000000" w:sz="4" w:space="0"/>
            </w:tcBorders>
            <w:tcW w:w="9422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216" w:type="dxa"/>
            <w:textDirection w:val="lrTb"/>
            <w:noWrap w:val="false"/>
          </w:tcPr>
          <w:p>
            <w:pPr>
              <w:rPr>
                <w:b/>
                <w:bCs/>
                <w:sz w:val="26"/>
                <w:szCs w:val="26"/>
                <w:highlight w:val="yellow"/>
              </w:rPr>
            </w:pPr>
            <w:r>
              <w:rPr>
                <w:b/>
                <w:bCs/>
                <w:sz w:val="26"/>
                <w:szCs w:val="26"/>
                <w:highlight w:val="yellow"/>
              </w:rPr>
            </w:r>
            <w:r>
              <w:rPr>
                <w:b/>
                <w:bCs/>
                <w:sz w:val="26"/>
                <w:szCs w:val="26"/>
                <w:highlight w:val="yellow"/>
              </w:rPr>
            </w:r>
            <w:r>
              <w:rPr>
                <w:b/>
                <w:bCs/>
                <w:sz w:val="26"/>
                <w:szCs w:val="26"/>
                <w:highlight w:val="yellow"/>
              </w:rPr>
            </w:r>
          </w:p>
        </w:tc>
      </w:tr>
      <w:tr>
        <w:tblPrEx/>
        <w:trPr>
          <w:cantSplit/>
          <w:trHeight w:val="251"/>
        </w:trPr>
        <w:tc>
          <w:tcPr>
            <w:gridSpan w:val="9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25169254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57" name="Врезка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13.1.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6" o:spid="_x0000_s56" o:spt="1" type="#_x0000_t1" style="position:absolute;z-index:251692544;o:allowoverlap:true;o:allowincell:true;mso-position-horizontal-relative:text;mso-position-horizontal:left;mso-position-vertical-relative:text;margin-top:0.05pt;mso-position-vertical:absolute;width:36.30pt;height:15.40pt;mso-wrap-distance-left:0.00pt;mso-wrap-distance-top:0.00pt;mso-wrap-distance-right:9.00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13.1.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Предполагаемая дата всту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пления в силу проекта акта: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27.12.2024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251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25167206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58" name="Врезка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7" o:spid="_x0000_s57" o:spt="1" type="#_x0000_t1" style="position:absolute;z-index:251672064;o:allowoverlap:true;o:allowincell:true;mso-position-horizontal-relative:text;mso-position-horizontal:left;mso-position-vertical-relative:text;margin-top:0.05pt;mso-position-vertical:absolute;width:36.30pt;height:15.40pt;mso-wrap-distance-left:0.00pt;mso-wrap-distance-top:0.00pt;mso-wrap-distance-right:9.00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13.2.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Необходимость установления переходного периода и (или) отсрочки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введения предлагаемого регулирования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отсутствует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</w:tcBorders>
            <w:tcW w:w="10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6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25167411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59" name="Врезка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13.3.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8" o:spid="_x0000_s58" o:spt="1" type="#_x0000_t1" style="position:absolute;z-index:251674112;o:allowoverlap:true;o:allowincell:true;mso-position-horizontal-relative:text;mso-position-horizontal:left;mso-position-vertical-relative:text;margin-top:0.05pt;mso-position-vertical:absolute;width:36.30pt;height:15.40pt;mso-wrap-distance-left:0.00pt;mso-wrap-distance-top:0.00pt;mso-wrap-distance-right:9.00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13.3.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(если есть необходимость):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6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pBdr>
                <w:bottom w:val="single" w:color="000000" w:sz="12" w:space="1"/>
              </w:pBd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00" w:lineRule="exact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(дней с момента опубликования нормативного правового акта)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blPrEx/>
        <w:trPr>
          <w:cantSplit/>
          <w:trHeight w:val="251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25169152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60" name="Врезка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13.4.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9" o:spid="_x0000_s59" o:spt="1" type="#_x0000_t1" style="position:absolute;z-index:251691520;o:allowoverlap:true;o:allowincell:true;mso-position-horizontal-relative:text;mso-position-horizontal:left;mso-position-vertical-relative:text;margin-top:0.05pt;mso-position-vertical:absolute;width:36.30pt;height:15.40pt;mso-wrap-distance-left:0.00pt;mso-wrap-distance-top:0.00pt;mso-wrap-distance-right:9.00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13.4.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Необходимость распространения предлагаемого регулирования на ранее возникшие отношения: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отсутствует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</w:tcBorders>
            <w:tcW w:w="10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6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25167616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61" name="Врезка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13.5.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0" o:spid="_x0000_s60" o:spt="1" type="#_x0000_t1" style="position:absolute;z-index:251676160;o:allowoverlap:true;o:allowincell:true;mso-position-horizontal-relative:text;mso-position-horizontal:left;mso-position-vertical-relative:text;margin-top:0.05pt;mso-position-vertical:absolute;width:36.30pt;height:15.40pt;mso-wrap-distance-left:0.00pt;mso-wrap-distance-top:0.00pt;mso-wrap-distance-right:9.00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13.5.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Срок(если есть необходимость):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6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pBdr>
                <w:bottom w:val="single" w:color="000000" w:sz="12" w:space="1"/>
              </w:pBd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180" w:lineRule="exact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(дней до момента вступления в силу нормативного правового акта)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blPrEx/>
        <w:trPr>
          <w:cantSplit/>
          <w:trHeight w:val="1109"/>
        </w:trPr>
        <w:tc>
          <w:tcPr>
            <w:gridSpan w:val="9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7820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2" name="Врезка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13.6.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1" o:spid="_x0000_s61" o:spt="1" type="#_x0000_t1" style="position:absolute;z-index:251678208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13.6.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Обоснование необходимости установления переходного периода и (или) отсрочки вступления в силу проекта акта либо необходимости распространения предлагаемого регулирования на ранее возникшие отношения: 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shd w:val="clear" w:color="auto" w:fill="auto"/>
            <w:tcBorders>
              <w:bottom w:val="single" w:color="000000" w:sz="4" w:space="0"/>
            </w:tcBorders>
            <w:tcW w:w="963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Необходимые для достижения заявленных целей регулирования организационно-технические, методологические, информационные и иные 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м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ероприятия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trHeight w:val="25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109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8025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3" name="Врезка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14.1.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2" o:spid="_x0000_s62" o:spt="1" type="#_x0000_t1" style="position:absolute;z-index:25168025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14.1.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Мероприятия необходимые для достижения целей регулирования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109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82304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4" name="Врезка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3" o:spid="_x0000_s63" o:spt="1" type="#_x0000_t1" style="position:absolute;z-index:251682304;o:allowoverlap:true;o:allowincell:true;mso-position-horizontal-relative:text;mso-position-horizontal:center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14.2.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Сроки </w:t>
            </w:r>
            <w:r>
              <w:rPr>
                <w:sz w:val="24"/>
                <w:szCs w:val="24"/>
                <w:lang w:eastAsia="ru-RU"/>
              </w:rPr>
              <w:t xml:space="preserve">мероприятий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38" w:type="dxa"/>
            <w:textDirection w:val="lrTb"/>
            <w:noWrap w:val="false"/>
          </w:tcPr>
          <w:p>
            <w:pPr>
              <w:pStyle w:val="109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84352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5" name="Врезка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14.3.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4" o:spid="_x0000_s64" o:spt="1" type="#_x0000_t1" style="position:absolute;z-index:251684352;o:allowoverlap:true;o:allowincell:true;mso-position-horizontal-relative:text;mso-position-horizontal:center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14.3.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Описание ожидаемого результата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87" w:type="dxa"/>
            <w:textDirection w:val="lrTb"/>
            <w:noWrap w:val="false"/>
          </w:tcPr>
          <w:p>
            <w:pPr>
              <w:pStyle w:val="109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85376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6" name="Врезка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14.4.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5" o:spid="_x0000_s65" o:spt="1" type="#_x0000_t1" style="position:absolute;z-index:251685376;o:allowoverlap:true;o:allowincell:true;mso-position-horizontal-relative:text;mso-position-horizontal:center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14.4.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Объем </w:t>
            </w:r>
            <w:r>
              <w:rPr>
                <w:sz w:val="24"/>
                <w:szCs w:val="24"/>
                <w:lang w:eastAsia="ru-RU"/>
              </w:rPr>
              <w:t xml:space="preserve">финанси-рования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textDirection w:val="lrTb"/>
            <w:noWrap w:val="false"/>
          </w:tcPr>
          <w:p>
            <w:pPr>
              <w:pStyle w:val="109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87424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7" name="Врезка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14.5.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6" o:spid="_x0000_s66" o:spt="1" type="#_x0000_t1" style="position:absolute;z-index:251687424;o:allowoverlap:true;o:allowincell:true;mso-position-horizontal-relative:text;mso-position-horizontal:center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14.5.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Источники финансирования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Разработка проекта постановления Администрации города Костромы «Об утверждении документации по планировке территории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ограниченной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лицами Магистральной, Радиозаводской, Южной, внутриквартальным проездом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в виде проекта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межевания территории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С момента опубликования, ориен</w:t>
            </w:r>
            <w:r>
              <w:rPr>
                <w:sz w:val="24"/>
                <w:szCs w:val="24"/>
                <w:lang w:eastAsia="ru-RU"/>
              </w:rPr>
              <w:t xml:space="preserve">тировочная дата опубликования </w:t>
            </w:r>
            <w:r>
              <w:rPr>
                <w:sz w:val="24"/>
                <w:szCs w:val="24"/>
                <w:lang w:eastAsia="ru-RU"/>
              </w:rPr>
              <w:t xml:space="preserve">27.12.2024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38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Достигнутым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результатом решения данной проблемы является подготовленный Проект, предусматривающий установление границ земельных участков, на которых расположены многоквартирные жилые дома и иные иные объекты капитального строительства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2" w:type="dxa"/>
            <w:textDirection w:val="lrTb"/>
            <w:noWrap w:val="false"/>
          </w:tcPr>
          <w:p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50"/>
        </w:trPr>
        <w:tc>
          <w:tcPr>
            <w:gridSpan w:val="9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textDirection w:val="lrTb"/>
            <w:noWrap w:val="false"/>
          </w:tcPr>
          <w:p>
            <w:pPr>
              <w:pStyle w:val="1092"/>
              <w:ind w:right="-108"/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22912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27940</wp:posOffset>
                      </wp:positionV>
                      <wp:extent cx="461010" cy="195580"/>
                      <wp:effectExtent l="0" t="0" r="0" b="0"/>
                      <wp:wrapSquare wrapText="bothSides"/>
                      <wp:docPr id="68" name="Врезка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14.6.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7" o:spid="_x0000_s67" o:spt="1" type="#_x0000_t1" style="position:absolute;z-index:251622912;o:allowoverlap:true;o:allowincell:true;mso-position-horizontal-relative:text;margin-left:2.65pt;mso-position-horizontal:absolute;mso-position-vertical-relative:text;margin-top:2.20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14.6.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6"/>
                <w:lang w:eastAsia="ru-RU"/>
              </w:rPr>
              <w:t xml:space="preserve">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 0 руб. (текущие расходы Администрации города Костромы)</w:t>
            </w:r>
            <w:r/>
          </w:p>
        </w:tc>
      </w:tr>
    </w:tbl>
    <w:p>
      <w:pPr>
        <w:jc w:val="both"/>
        <w:spacing w:line="360" w:lineRule="auto"/>
        <w:rPr>
          <w:szCs w:val="26"/>
          <w:highlight w:val="yellow"/>
        </w:rPr>
      </w:pPr>
      <w:r>
        <w:rPr>
          <w:szCs w:val="26"/>
          <w:highlight w:val="yellow"/>
        </w:rPr>
      </w:r>
      <w:r>
        <w:rPr>
          <w:szCs w:val="26"/>
          <w:highlight w:val="yellow"/>
        </w:rPr>
      </w:r>
      <w:r>
        <w:rPr>
          <w:szCs w:val="26"/>
          <w:highlight w:val="yellow"/>
        </w:rPr>
      </w:r>
    </w:p>
    <w:p>
      <w:pPr>
        <w:jc w:val="both"/>
        <w:spacing w:line="360" w:lineRule="auto"/>
        <w:rPr>
          <w:szCs w:val="26"/>
          <w:highlight w:val="yellow"/>
        </w:rPr>
      </w:pPr>
      <w:r>
        <w:rPr>
          <w:szCs w:val="26"/>
          <w:highlight w:val="yellow"/>
        </w:rPr>
      </w:r>
      <w:r>
        <w:rPr>
          <w:szCs w:val="26"/>
          <w:highlight w:val="yellow"/>
        </w:rPr>
      </w:r>
      <w:r>
        <w:rPr>
          <w:szCs w:val="26"/>
          <w:highlight w:val="yellow"/>
        </w:rPr>
      </w:r>
    </w:p>
    <w:tbl>
      <w:tblPr>
        <w:tblW w:w="9508" w:type="dxa"/>
        <w:tblLook w:val="04A0" w:firstRow="1" w:lastRow="0" w:firstColumn="1" w:lastColumn="0" w:noHBand="0" w:noVBand="1"/>
      </w:tblPr>
      <w:tblGrid>
        <w:gridCol w:w="9508"/>
      </w:tblGrid>
      <w:tr>
        <w:tblPrEx/>
        <w:trPr>
          <w:cantSplit/>
          <w:trHeight w:val="339"/>
        </w:trPr>
        <w:tc>
          <w:tcPr>
            <w:shd w:val="clear" w:color="auto" w:fill="auto"/>
            <w:tcBorders>
              <w:bottom w:val="single" w:color="000000" w:sz="4" w:space="0"/>
            </w:tcBorders>
            <w:tcW w:w="950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Иные сведения, которые, по мнению разработчика, позволяют оценить обоснованность предлагаемого регулирования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23936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27940</wp:posOffset>
                      </wp:positionV>
                      <wp:extent cx="461010" cy="195580"/>
                      <wp:effectExtent l="0" t="0" r="0" b="0"/>
                      <wp:wrapSquare wrapText="bothSides"/>
                      <wp:docPr id="69" name="Врезка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15.1.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8" o:spid="_x0000_s68" o:spt="1" type="#_x0000_t1" style="position:absolute;z-index:251623936;o:allowoverlap:true;o:allowincell:true;mso-position-horizontal-relative:text;margin-left:2.65pt;mso-position-horizontal:absolute;mso-position-vertical-relative:text;margin-top:2.20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15.1.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Иные необходимые, по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нению разработчика, сведения: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рамках проведения оценки регули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рующего воздействия в период с 13 по 19 ноября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предлагаемый Проект размещен на сайте Администрации города Костромы в информационно-телекоммуникационной сети «Интернет» для проведения публичных консультаций.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подготовки отчета независимая антикоррупционная экспертиза проекта не проводилась.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59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8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595776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27940</wp:posOffset>
                      </wp:positionV>
                      <wp:extent cx="461010" cy="195580"/>
                      <wp:effectExtent l="0" t="0" r="0" b="0"/>
                      <wp:wrapSquare wrapText="bothSides"/>
                      <wp:docPr id="70" name="Врезка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15.2.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9" o:spid="_x0000_s69" o:spt="1" type="#_x0000_t1" style="position:absolute;z-index:251595776;o:allowoverlap:true;o:allowincell:true;mso-position-horizontal-relative:text;margin-left:2.65pt;mso-position-horizontal:absolute;mso-position-vertical-relative:text;margin-top:2.20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15.2.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Источники данных: сведения, имеющиеся у Разработчика.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</w:pPr>
      <w:r/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737" w:right="567" w:bottom="284" w:left="1701" w:header="709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Tahoma">
    <w:panose1 w:val="020B0604030504040204"/>
  </w:font>
  <w:font w:name="Cambria">
    <w:panose1 w:val="02040503050406030204"/>
  </w:font>
  <w:font w:name="Courier New">
    <w:panose1 w:val="02070309020205020404"/>
  </w:font>
  <w:font w:name="Times New Roman">
    <w:panose1 w:val="02020603050405020304"/>
  </w:font>
  <w:font w:name="Verdana">
    <w:panose1 w:val="020B0604030504040204"/>
  </w:font>
  <w:font w:name="Calibri">
    <w:panose1 w:val="020F0502020204030204"/>
  </w:font>
  <w:font w:name="NSimSun">
    <w:panose1 w:val="02010609030101010101"/>
  </w:font>
  <w:font w:name="Arial">
    <w:panose1 w:val="020B0604020202020204"/>
  </w:font>
  <w:font w:name="Liberation Serif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8"/>
    </w:pP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7728" behindDoc="1" locked="0" layoutInCell="1" allowOverlap="1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6127750" cy="182880"/>
              <wp:effectExtent l="0" t="0" r="0" b="0"/>
              <wp:wrapNone/>
              <wp:docPr id="1" name="Врезка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612775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000000"/>
                      </a:lnRef>
                      <a:fillRef idx="0">
                        <a:srgbClr val="000000"/>
                      </a:fillRef>
                      <a:effectRef idx="0">
                        <a:srgbClr val="000000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1098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 xml:space="preserve">PAGE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000000"/>
                            </w:rPr>
                          </w: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0" o:spid="_x0000_s0" o:spt="1" type="#_x0000_t1" style="position:absolute;z-index:-251657728;o:allowoverlap:true;o:allowincell:true;mso-position-horizontal-relative:text;mso-position-horizontal:left;mso-position-vertical-relative:line;margin-top:0.05pt;mso-position-vertical:absolute;width:482.50pt;height:14.40pt;mso-wrap-distance-left:0.00pt;mso-wrap-distance-top:0.00pt;mso-wrap-distance-right:0.00pt;mso-wrap-distance-bottom:0.00pt;visibility:visible;" filled="f" stroked="f">
              <v:textbox inset="0,0,0,0">
                <w:txbxContent>
                  <w:p>
                    <w:pPr>
                      <w:pStyle w:val="1098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 xml:space="preserve">PAGE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>
                      <w:rPr>
                        <w:color w:val="000000"/>
                      </w:rPr>
                    </w:r>
                    <w:r>
                      <w:rPr>
                        <w:color w:val="000000"/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28" w:hanging="360"/>
        <w:tabs>
          <w:tab w:val="num" w:pos="1228" w:leader="none"/>
        </w:tabs>
      </w:pPr>
      <w:rPr>
        <w:rFonts w:ascii="Times New Roman" w:hAnsi="Times New Roman" w:cs="Times New Roman"/>
        <w:b w:val="0"/>
        <w:sz w:val="26"/>
        <w:szCs w:val="26"/>
        <w:lang w:val="ru-RU"/>
      </w:rPr>
    </w:lvl>
    <w:lvl w:ilvl="1">
      <w:start w:val="1"/>
      <w:numFmt w:val="decimal"/>
      <w:isLgl w:val="false"/>
      <w:suff w:val="tab"/>
      <w:lvlText w:val="%2."/>
      <w:lvlJc w:val="left"/>
      <w:pPr>
        <w:ind w:left="1588" w:hanging="360"/>
        <w:tabs>
          <w:tab w:val="num" w:pos="1588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948" w:hanging="360"/>
        <w:tabs>
          <w:tab w:val="num" w:pos="194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308" w:hanging="360"/>
        <w:tabs>
          <w:tab w:val="num" w:pos="2308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668" w:hanging="360"/>
        <w:tabs>
          <w:tab w:val="num" w:pos="2668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3028" w:hanging="360"/>
        <w:tabs>
          <w:tab w:val="num" w:pos="302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3388" w:hanging="360"/>
        <w:tabs>
          <w:tab w:val="num" w:pos="3388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748" w:hanging="360"/>
        <w:tabs>
          <w:tab w:val="num" w:pos="3748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4108" w:hanging="360"/>
        <w:tabs>
          <w:tab w:val="num" w:pos="4108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b/>
        <w:sz w:val="26"/>
        <w:szCs w:val="26"/>
      </w:rPr>
    </w:lvl>
    <w:lvl w:ilvl="1">
      <w:start w:val="1"/>
      <w:numFmt w:val="decimal"/>
      <w:isLgl w:val="false"/>
      <w:suff w:val="tab"/>
      <w:lvlText w:val="%1.%2."/>
      <w:lvlJc w:val="left"/>
      <w:pPr>
        <w:ind w:left="687" w:hanging="432"/>
      </w:pPr>
      <w:rPr>
        <w:b w:val="0"/>
        <w:color w:val="000000"/>
        <w:sz w:val="24"/>
        <w:szCs w:val="26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sz w:val="26"/>
        <w:szCs w:val="26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1.%2."/>
      <w:lvlJc w:val="left"/>
      <w:pPr>
        <w:ind w:left="862" w:hanging="720"/>
      </w:pPr>
      <w:rPr>
        <w:rFonts w:hint="default" w:ascii="Times New Roman" w:hAnsi="Times New Roman" w:cs="Times New Roman"/>
        <w:sz w:val="24"/>
        <w:szCs w:val="24"/>
        <w:highlight w:val="red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3">
    <w:multiLevelType w:val="hybridMultilevel"/>
    <w:lvl w:ilvl="0">
      <w:start w:val="1"/>
      <w:numFmt w:val="none"/>
      <w:pStyle w:val="859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5.%1."/>
      <w:lvlJc w:val="left"/>
      <w:pPr>
        <w:ind w:left="360" w:hanging="360"/>
      </w:pPr>
      <w:rPr>
        <w:rFonts w:hint="default" w:ascii="Times New Roman" w:hAnsi="Times New Roman" w:cs="Times New Roman"/>
        <w:sz w:val="24"/>
        <w:szCs w:val="26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2.%2."/>
      <w:lvlJc w:val="left"/>
      <w:pPr>
        <w:ind w:left="720" w:hanging="720"/>
      </w:pPr>
      <w:rPr>
        <w:rFonts w:hint="default" w:ascii="Times New Roman" w:hAnsi="Times New Roman" w:cs="Times New Roman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7.%2."/>
      <w:lvlJc w:val="left"/>
      <w:pPr>
        <w:ind w:left="720" w:hanging="720"/>
      </w:pPr>
      <w:rPr>
        <w:rFonts w:cs="Times New Roman"/>
        <w:b w:val="0"/>
        <w:sz w:val="24"/>
        <w:szCs w:val="26"/>
        <w:highlight w:val="red"/>
        <w:lang w:val="ru-RU"/>
      </w:rPr>
    </w:lvl>
    <w:lvl w:ilvl="2">
      <w:start w:val="1"/>
      <w:numFmt w:val="decimal"/>
      <w:isLgl w:val="false"/>
      <w:suff w:val="tab"/>
      <w:lvlText w:val="6.3.%3."/>
      <w:lvlJc w:val="left"/>
      <w:pPr>
        <w:ind w:left="720" w:hanging="720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7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8">
    <w:multiLevelType w:val="hybridMultilevel"/>
    <w:lvl w:ilvl="0">
      <w:start w:val="1"/>
      <w:numFmt w:val="decimal"/>
      <w:pStyle w:val="858"/>
      <w:isLgl w:val="false"/>
      <w:suff w:val="tab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9">
    <w:multiLevelType w:val="hybridMultilevel"/>
    <w:lvl w:ilvl="0">
      <w:start w:val="1"/>
      <w:numFmt w:val="decimal"/>
      <w:pStyle w:val="858"/>
      <w:isLgl w:val="false"/>
      <w:suff w:val="tab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5">
    <w:name w:val="Caption Char"/>
    <w:basedOn w:val="1095"/>
    <w:link w:val="1099"/>
    <w:uiPriority w:val="99"/>
  </w:style>
  <w:style w:type="table" w:styleId="726">
    <w:name w:val="Table Grid"/>
    <w:basedOn w:val="86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6">
    <w:name w:val="List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7">
    <w:name w:val="List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8">
    <w:name w:val="List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9">
    <w:name w:val="List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0">
    <w:name w:val="List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1">
    <w:name w:val="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3">
    <w:name w:val="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4">
    <w:name w:val="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5">
    <w:name w:val="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6">
    <w:name w:val="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7">
    <w:name w:val="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8">
    <w:name w:val="Bordered &amp; 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0">
    <w:name w:val="Bordered &amp; 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1">
    <w:name w:val="Bordered &amp; 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2">
    <w:name w:val="Bordered &amp; 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3">
    <w:name w:val="Bordered &amp; 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4">
    <w:name w:val="Bordered &amp; 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5">
    <w:name w:val="Bordered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character" w:styleId="853">
    <w:name w:val="footnote reference"/>
    <w:basedOn w:val="868"/>
    <w:uiPriority w:val="99"/>
    <w:unhideWhenUsed/>
    <w:rPr>
      <w:vertAlign w:val="superscript"/>
    </w:rPr>
  </w:style>
  <w:style w:type="paragraph" w:styleId="854">
    <w:name w:val="endnote text"/>
    <w:basedOn w:val="858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basedOn w:val="868"/>
    <w:uiPriority w:val="99"/>
    <w:semiHidden/>
    <w:unhideWhenUsed/>
    <w:rPr>
      <w:vertAlign w:val="superscript"/>
    </w:rPr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qFormat/>
    <w:pPr>
      <w:shd w:val="clear" w:color="auto" w:fill="ffffff"/>
      <w:widowControl w:val="off"/>
    </w:pPr>
    <w:rPr>
      <w:rFonts w:ascii="Arial" w:hAnsi="Arial" w:eastAsia="Times New Roman" w:cs="Times New Roman"/>
      <w:sz w:val="18"/>
      <w:szCs w:val="18"/>
      <w:lang w:eastAsia="ar-SA" w:bidi="ar-SA"/>
    </w:rPr>
  </w:style>
  <w:style w:type="paragraph" w:styleId="859">
    <w:name w:val="Heading 1"/>
    <w:basedOn w:val="858"/>
    <w:next w:val="858"/>
    <w:qFormat/>
    <w:pPr>
      <w:numPr>
        <w:ilvl w:val="0"/>
        <w:numId w:val="1"/>
      </w:num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860">
    <w:name w:val="Heading 2"/>
    <w:next w:val="1093"/>
    <w:qFormat/>
    <w:pPr>
      <w:keepLines/>
      <w:keepNext/>
      <w:spacing w:before="360" w:after="200"/>
      <w:shd w:val="clear" w:color="auto" w:fill="ffffff"/>
      <w:outlineLvl w:val="1"/>
    </w:pPr>
    <w:rPr>
      <w:rFonts w:ascii="Arial" w:hAnsi="Arial" w:eastAsia="Arial"/>
      <w:sz w:val="34"/>
      <w:szCs w:val="22"/>
      <w:lang w:eastAsia="en-US" w:bidi="en-US"/>
    </w:rPr>
  </w:style>
  <w:style w:type="paragraph" w:styleId="861">
    <w:name w:val="Heading 3"/>
    <w:next w:val="1093"/>
    <w:qFormat/>
    <w:pPr>
      <w:keepLines/>
      <w:keepNext/>
      <w:spacing w:before="320" w:after="200"/>
      <w:shd w:val="clear" w:color="auto" w:fill="ffffff"/>
      <w:outlineLvl w:val="2"/>
    </w:pPr>
    <w:rPr>
      <w:rFonts w:ascii="Arial" w:hAnsi="Arial" w:eastAsia="Arial"/>
      <w:sz w:val="30"/>
      <w:szCs w:val="30"/>
      <w:lang w:eastAsia="en-US" w:bidi="en-US"/>
    </w:rPr>
  </w:style>
  <w:style w:type="paragraph" w:styleId="862">
    <w:name w:val="Heading 4"/>
    <w:next w:val="1093"/>
    <w:qFormat/>
    <w:pPr>
      <w:keepLines/>
      <w:keepNext/>
      <w:spacing w:before="320" w:after="200"/>
      <w:shd w:val="clear" w:color="auto" w:fill="ffffff"/>
      <w:outlineLvl w:val="3"/>
    </w:pPr>
    <w:rPr>
      <w:rFonts w:ascii="Arial" w:hAnsi="Arial" w:eastAsia="Arial"/>
      <w:b/>
      <w:bCs/>
      <w:sz w:val="26"/>
      <w:szCs w:val="26"/>
      <w:lang w:eastAsia="en-US" w:bidi="en-US"/>
    </w:rPr>
  </w:style>
  <w:style w:type="paragraph" w:styleId="863">
    <w:name w:val="Heading 5"/>
    <w:next w:val="1093"/>
    <w:qFormat/>
    <w:pPr>
      <w:keepLines/>
      <w:keepNext/>
      <w:spacing w:before="320" w:after="200"/>
      <w:shd w:val="clear" w:color="auto" w:fill="ffffff"/>
      <w:outlineLvl w:val="4"/>
    </w:pPr>
    <w:rPr>
      <w:rFonts w:ascii="Arial" w:hAnsi="Arial" w:eastAsia="Arial"/>
      <w:b/>
      <w:bCs/>
      <w:sz w:val="24"/>
      <w:lang w:eastAsia="en-US" w:bidi="en-US"/>
    </w:rPr>
  </w:style>
  <w:style w:type="paragraph" w:styleId="864">
    <w:name w:val="Heading 6"/>
    <w:next w:val="1093"/>
    <w:qFormat/>
    <w:pPr>
      <w:keepLines/>
      <w:keepNext/>
      <w:spacing w:before="320" w:after="200"/>
      <w:shd w:val="clear" w:color="auto" w:fill="ffffff"/>
      <w:outlineLvl w:val="5"/>
    </w:pPr>
    <w:rPr>
      <w:rFonts w:ascii="Arial" w:hAnsi="Arial" w:eastAsia="Arial"/>
      <w:b/>
      <w:bCs/>
      <w:sz w:val="22"/>
      <w:szCs w:val="22"/>
      <w:lang w:eastAsia="en-US" w:bidi="en-US"/>
    </w:rPr>
  </w:style>
  <w:style w:type="paragraph" w:styleId="865">
    <w:name w:val="Heading 7"/>
    <w:next w:val="1093"/>
    <w:qFormat/>
    <w:pPr>
      <w:keepLines/>
      <w:keepNext/>
      <w:spacing w:before="320" w:after="200"/>
      <w:shd w:val="clear" w:color="auto" w:fill="ffffff"/>
      <w:outlineLvl w:val="6"/>
    </w:pPr>
    <w:rPr>
      <w:rFonts w:ascii="Arial" w:hAnsi="Arial" w:eastAsia="Arial"/>
      <w:b/>
      <w:bCs/>
      <w:i/>
      <w:iCs/>
      <w:sz w:val="22"/>
      <w:szCs w:val="22"/>
      <w:lang w:eastAsia="en-US" w:bidi="en-US"/>
    </w:rPr>
  </w:style>
  <w:style w:type="paragraph" w:styleId="866">
    <w:name w:val="Heading 8"/>
    <w:next w:val="1093"/>
    <w:qFormat/>
    <w:pPr>
      <w:keepLines/>
      <w:keepNext/>
      <w:spacing w:before="320" w:after="200"/>
      <w:shd w:val="clear" w:color="auto" w:fill="ffffff"/>
      <w:outlineLvl w:val="7"/>
    </w:pPr>
    <w:rPr>
      <w:rFonts w:ascii="Arial" w:hAnsi="Arial" w:eastAsia="Arial"/>
      <w:i/>
      <w:iCs/>
      <w:sz w:val="22"/>
      <w:szCs w:val="22"/>
      <w:lang w:eastAsia="en-US" w:bidi="en-US"/>
    </w:rPr>
  </w:style>
  <w:style w:type="paragraph" w:styleId="867">
    <w:name w:val="Heading 9"/>
    <w:next w:val="1093"/>
    <w:qFormat/>
    <w:pPr>
      <w:keepLines/>
      <w:keepNext/>
      <w:spacing w:before="320" w:after="200"/>
      <w:shd w:val="clear" w:color="auto" w:fill="ffffff"/>
      <w:outlineLvl w:val="8"/>
    </w:pPr>
    <w:rPr>
      <w:rFonts w:ascii="Arial" w:hAnsi="Arial" w:eastAsia="Arial"/>
      <w:i/>
      <w:iCs/>
      <w:sz w:val="21"/>
      <w:szCs w:val="21"/>
      <w:lang w:eastAsia="en-US" w:bidi="en-US"/>
    </w:rPr>
  </w:style>
  <w:style w:type="character" w:styleId="868" w:default="1">
    <w:name w:val="Default Paragraph Font"/>
    <w:uiPriority w:val="1"/>
    <w:semiHidden/>
    <w:unhideWhenUsed/>
  </w:style>
  <w:style w:type="table" w:styleId="8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character" w:styleId="871" w:customStyle="1">
    <w:name w:val="WW8Num1z0"/>
    <w:qFormat/>
  </w:style>
  <w:style w:type="character" w:styleId="872" w:customStyle="1">
    <w:name w:val="WW8Num1z1"/>
    <w:qFormat/>
    <w:rPr>
      <w:color w:val="000000"/>
    </w:rPr>
  </w:style>
  <w:style w:type="character" w:styleId="873" w:customStyle="1">
    <w:name w:val="WW8Num1z2"/>
    <w:qFormat/>
    <w:rPr>
      <w:b w:val="0"/>
    </w:rPr>
  </w:style>
  <w:style w:type="character" w:styleId="874" w:customStyle="1">
    <w:name w:val="WW8Num2z0"/>
    <w:qFormat/>
  </w:style>
  <w:style w:type="character" w:styleId="875" w:customStyle="1">
    <w:name w:val="WW8Num2z1"/>
    <w:qFormat/>
    <w:rPr>
      <w:rFonts w:ascii="Times New Roman" w:hAnsi="Times New Roman" w:cs="Times New Roman"/>
      <w:b w:val="0"/>
      <w:sz w:val="26"/>
      <w:szCs w:val="26"/>
      <w:lang w:val="ru-RU"/>
    </w:rPr>
  </w:style>
  <w:style w:type="character" w:styleId="876" w:customStyle="1">
    <w:name w:val="WW8Num2z2"/>
    <w:qFormat/>
    <w:rPr>
      <w:b w:val="0"/>
    </w:rPr>
  </w:style>
  <w:style w:type="character" w:styleId="877" w:customStyle="1">
    <w:name w:val="WW8Num3z0"/>
    <w:qFormat/>
    <w:rPr>
      <w:b w:val="0"/>
    </w:rPr>
  </w:style>
  <w:style w:type="character" w:styleId="878" w:customStyle="1">
    <w:name w:val="WW8Num3z1"/>
    <w:qFormat/>
  </w:style>
  <w:style w:type="character" w:styleId="879" w:customStyle="1">
    <w:name w:val="WW8Num4z0"/>
    <w:qFormat/>
    <w:rPr>
      <w:b/>
      <w:sz w:val="26"/>
      <w:szCs w:val="26"/>
    </w:rPr>
  </w:style>
  <w:style w:type="character" w:styleId="880" w:customStyle="1">
    <w:name w:val="WW8Num4z1"/>
    <w:qFormat/>
    <w:rPr>
      <w:b w:val="0"/>
      <w:color w:val="000000"/>
      <w:sz w:val="24"/>
      <w:szCs w:val="26"/>
    </w:rPr>
  </w:style>
  <w:style w:type="character" w:styleId="881" w:customStyle="1">
    <w:name w:val="WW8Num4z2"/>
    <w:qFormat/>
    <w:rPr>
      <w:sz w:val="26"/>
      <w:szCs w:val="26"/>
    </w:rPr>
  </w:style>
  <w:style w:type="character" w:styleId="882" w:customStyle="1">
    <w:name w:val="WW8Num4z3"/>
    <w:qFormat/>
  </w:style>
  <w:style w:type="character" w:styleId="883" w:customStyle="1">
    <w:name w:val="WW8Num4z4"/>
    <w:qFormat/>
  </w:style>
  <w:style w:type="character" w:styleId="884" w:customStyle="1">
    <w:name w:val="WW8Num4z5"/>
    <w:qFormat/>
  </w:style>
  <w:style w:type="character" w:styleId="885" w:customStyle="1">
    <w:name w:val="WW8Num4z6"/>
    <w:qFormat/>
  </w:style>
  <w:style w:type="character" w:styleId="886" w:customStyle="1">
    <w:name w:val="WW8Num4z7"/>
    <w:qFormat/>
  </w:style>
  <w:style w:type="character" w:styleId="887" w:customStyle="1">
    <w:name w:val="WW8Num4z8"/>
    <w:qFormat/>
  </w:style>
  <w:style w:type="character" w:styleId="888" w:customStyle="1">
    <w:name w:val="WW8Num5z0"/>
    <w:qFormat/>
  </w:style>
  <w:style w:type="character" w:styleId="889" w:customStyle="1">
    <w:name w:val="WW8Num5z1"/>
    <w:qFormat/>
  </w:style>
  <w:style w:type="character" w:styleId="890" w:customStyle="1">
    <w:name w:val="WW8Num5z2"/>
    <w:qFormat/>
  </w:style>
  <w:style w:type="character" w:styleId="891" w:customStyle="1">
    <w:name w:val="WW8Num5z3"/>
    <w:qFormat/>
  </w:style>
  <w:style w:type="character" w:styleId="892" w:customStyle="1">
    <w:name w:val="WW8Num5z4"/>
    <w:qFormat/>
  </w:style>
  <w:style w:type="character" w:styleId="893" w:customStyle="1">
    <w:name w:val="WW8Num5z5"/>
    <w:qFormat/>
  </w:style>
  <w:style w:type="character" w:styleId="894" w:customStyle="1">
    <w:name w:val="WW8Num5z6"/>
    <w:qFormat/>
  </w:style>
  <w:style w:type="character" w:styleId="895" w:customStyle="1">
    <w:name w:val="WW8Num5z7"/>
    <w:qFormat/>
  </w:style>
  <w:style w:type="character" w:styleId="896" w:customStyle="1">
    <w:name w:val="WW8Num5z8"/>
    <w:qFormat/>
  </w:style>
  <w:style w:type="character" w:styleId="897" w:customStyle="1">
    <w:name w:val="WW8Num6z0"/>
    <w:qFormat/>
  </w:style>
  <w:style w:type="character" w:styleId="898" w:customStyle="1">
    <w:name w:val="WW8Num6z2"/>
    <w:qFormat/>
    <w:rPr>
      <w:b w:val="0"/>
    </w:rPr>
  </w:style>
  <w:style w:type="character" w:styleId="899" w:customStyle="1">
    <w:name w:val="WW8Num7z0"/>
    <w:qFormat/>
  </w:style>
  <w:style w:type="character" w:styleId="900" w:customStyle="1">
    <w:name w:val="WW8Num7z1"/>
    <w:qFormat/>
    <w:rPr>
      <w:sz w:val="24"/>
      <w:szCs w:val="24"/>
    </w:rPr>
  </w:style>
  <w:style w:type="character" w:styleId="901" w:customStyle="1">
    <w:name w:val="WW8Num7z2"/>
    <w:qFormat/>
    <w:rPr>
      <w:b w:val="0"/>
    </w:rPr>
  </w:style>
  <w:style w:type="character" w:styleId="902" w:customStyle="1">
    <w:name w:val="WW8Num8z0"/>
    <w:qFormat/>
  </w:style>
  <w:style w:type="character" w:styleId="903" w:customStyle="1">
    <w:name w:val="WW8Num8z1"/>
    <w:qFormat/>
    <w:rPr>
      <w:b w:val="0"/>
    </w:rPr>
  </w:style>
  <w:style w:type="character" w:styleId="904" w:customStyle="1">
    <w:name w:val="WW8Num9z0"/>
    <w:qFormat/>
  </w:style>
  <w:style w:type="character" w:styleId="905" w:customStyle="1">
    <w:name w:val="WW8Num9z1"/>
    <w:qFormat/>
  </w:style>
  <w:style w:type="character" w:styleId="906" w:customStyle="1">
    <w:name w:val="WW8Num9z2"/>
    <w:qFormat/>
  </w:style>
  <w:style w:type="character" w:styleId="907" w:customStyle="1">
    <w:name w:val="WW8Num9z3"/>
    <w:qFormat/>
  </w:style>
  <w:style w:type="character" w:styleId="908" w:customStyle="1">
    <w:name w:val="WW8Num9z4"/>
    <w:qFormat/>
  </w:style>
  <w:style w:type="character" w:styleId="909" w:customStyle="1">
    <w:name w:val="WW8Num9z5"/>
    <w:qFormat/>
  </w:style>
  <w:style w:type="character" w:styleId="910" w:customStyle="1">
    <w:name w:val="WW8Num9z6"/>
    <w:qFormat/>
  </w:style>
  <w:style w:type="character" w:styleId="911" w:customStyle="1">
    <w:name w:val="WW8Num9z7"/>
    <w:qFormat/>
  </w:style>
  <w:style w:type="character" w:styleId="912" w:customStyle="1">
    <w:name w:val="WW8Num9z8"/>
    <w:qFormat/>
  </w:style>
  <w:style w:type="character" w:styleId="913" w:customStyle="1">
    <w:name w:val="WW8Num10z0"/>
    <w:qFormat/>
  </w:style>
  <w:style w:type="character" w:styleId="914" w:customStyle="1">
    <w:name w:val="WW8Num10z1"/>
    <w:qFormat/>
    <w:rPr>
      <w:rFonts w:ascii="Times New Roman" w:hAnsi="Times New Roman" w:cs="Times New Roman"/>
      <w:b w:val="0"/>
      <w:sz w:val="24"/>
      <w:szCs w:val="26"/>
      <w:lang w:val="ru-RU"/>
    </w:rPr>
  </w:style>
  <w:style w:type="character" w:styleId="915" w:customStyle="1">
    <w:name w:val="WW8Num10z2"/>
    <w:qFormat/>
    <w:rPr>
      <w:b w:val="0"/>
    </w:rPr>
  </w:style>
  <w:style w:type="character" w:styleId="916" w:customStyle="1">
    <w:name w:val="WW8Num11z0"/>
    <w:qFormat/>
  </w:style>
  <w:style w:type="character" w:styleId="917" w:customStyle="1">
    <w:name w:val="WW8Num11z1"/>
    <w:qFormat/>
    <w:rPr>
      <w:color w:val="000000"/>
    </w:rPr>
  </w:style>
  <w:style w:type="character" w:styleId="918" w:customStyle="1">
    <w:name w:val="WW8Num11z2"/>
    <w:qFormat/>
    <w:rPr>
      <w:b w:val="0"/>
    </w:rPr>
  </w:style>
  <w:style w:type="character" w:styleId="919" w:customStyle="1">
    <w:name w:val="WW8Num12z0"/>
    <w:qFormat/>
  </w:style>
  <w:style w:type="character" w:styleId="920" w:customStyle="1">
    <w:name w:val="WW8Num12z1"/>
    <w:qFormat/>
    <w:rPr>
      <w:b w:val="0"/>
    </w:rPr>
  </w:style>
  <w:style w:type="character" w:styleId="921" w:customStyle="1">
    <w:name w:val="WW8Num12z2"/>
    <w:qFormat/>
    <w:rPr>
      <w:b w:val="0"/>
    </w:rPr>
  </w:style>
  <w:style w:type="character" w:styleId="922" w:customStyle="1">
    <w:name w:val="WW8Num13z0"/>
    <w:qFormat/>
  </w:style>
  <w:style w:type="character" w:styleId="923" w:customStyle="1">
    <w:name w:val="WW8Num13z2"/>
    <w:qFormat/>
    <w:rPr>
      <w:b w:val="0"/>
    </w:rPr>
  </w:style>
  <w:style w:type="character" w:styleId="924" w:customStyle="1">
    <w:name w:val="WW8Num14z0"/>
    <w:qFormat/>
  </w:style>
  <w:style w:type="character" w:styleId="925" w:customStyle="1">
    <w:name w:val="WW8Num14z1"/>
    <w:qFormat/>
    <w:rPr>
      <w:rFonts w:ascii="Times New Roman" w:hAnsi="Times New Roman" w:cs="Times New Roman"/>
      <w:b w:val="0"/>
      <w:sz w:val="26"/>
      <w:szCs w:val="26"/>
      <w:lang w:val="ru-RU"/>
    </w:rPr>
  </w:style>
  <w:style w:type="character" w:styleId="926" w:customStyle="1">
    <w:name w:val="WW8Num14z2"/>
    <w:qFormat/>
    <w:rPr>
      <w:b w:val="0"/>
    </w:rPr>
  </w:style>
  <w:style w:type="character" w:styleId="927" w:customStyle="1">
    <w:name w:val="WW8Num15z0"/>
    <w:qFormat/>
    <w:rPr>
      <w:lang w:val="ru-RU"/>
    </w:rPr>
  </w:style>
  <w:style w:type="character" w:styleId="928" w:customStyle="1">
    <w:name w:val="WW8Num15z1"/>
    <w:qFormat/>
  </w:style>
  <w:style w:type="character" w:styleId="929" w:customStyle="1">
    <w:name w:val="WW8Num16z0"/>
    <w:qFormat/>
  </w:style>
  <w:style w:type="character" w:styleId="930" w:customStyle="1">
    <w:name w:val="WW8Num16z1"/>
    <w:qFormat/>
    <w:rPr>
      <w:sz w:val="24"/>
      <w:szCs w:val="24"/>
    </w:rPr>
  </w:style>
  <w:style w:type="character" w:styleId="931" w:customStyle="1">
    <w:name w:val="WW8Num16z2"/>
    <w:qFormat/>
    <w:rPr>
      <w:b w:val="0"/>
    </w:rPr>
  </w:style>
  <w:style w:type="character" w:styleId="932" w:customStyle="1">
    <w:name w:val="WW8Num17z0"/>
    <w:qFormat/>
  </w:style>
  <w:style w:type="character" w:styleId="933" w:customStyle="1">
    <w:name w:val="WW8Num17z1"/>
    <w:qFormat/>
  </w:style>
  <w:style w:type="character" w:styleId="934" w:customStyle="1">
    <w:name w:val="WW8Num17z2"/>
    <w:qFormat/>
  </w:style>
  <w:style w:type="character" w:styleId="935" w:customStyle="1">
    <w:name w:val="WW8Num17z3"/>
    <w:qFormat/>
  </w:style>
  <w:style w:type="character" w:styleId="936" w:customStyle="1">
    <w:name w:val="WW8Num17z4"/>
    <w:qFormat/>
  </w:style>
  <w:style w:type="character" w:styleId="937" w:customStyle="1">
    <w:name w:val="WW8Num17z5"/>
    <w:qFormat/>
  </w:style>
  <w:style w:type="character" w:styleId="938" w:customStyle="1">
    <w:name w:val="WW8Num17z6"/>
    <w:qFormat/>
  </w:style>
  <w:style w:type="character" w:styleId="939" w:customStyle="1">
    <w:name w:val="WW8Num17z7"/>
    <w:qFormat/>
  </w:style>
  <w:style w:type="character" w:styleId="940" w:customStyle="1">
    <w:name w:val="WW8Num17z8"/>
    <w:qFormat/>
  </w:style>
  <w:style w:type="character" w:styleId="941" w:customStyle="1">
    <w:name w:val="WW8Num18z0"/>
    <w:qFormat/>
  </w:style>
  <w:style w:type="character" w:styleId="942" w:customStyle="1">
    <w:name w:val="WW8Num18z1"/>
    <w:qFormat/>
  </w:style>
  <w:style w:type="character" w:styleId="943" w:customStyle="1">
    <w:name w:val="WW8Num18z2"/>
    <w:qFormat/>
  </w:style>
  <w:style w:type="character" w:styleId="944" w:customStyle="1">
    <w:name w:val="WW8Num18z3"/>
    <w:qFormat/>
  </w:style>
  <w:style w:type="character" w:styleId="945" w:customStyle="1">
    <w:name w:val="WW8Num18z4"/>
    <w:qFormat/>
  </w:style>
  <w:style w:type="character" w:styleId="946" w:customStyle="1">
    <w:name w:val="WW8Num18z5"/>
    <w:qFormat/>
  </w:style>
  <w:style w:type="character" w:styleId="947" w:customStyle="1">
    <w:name w:val="WW8Num18z6"/>
    <w:qFormat/>
  </w:style>
  <w:style w:type="character" w:styleId="948" w:customStyle="1">
    <w:name w:val="WW8Num18z7"/>
    <w:qFormat/>
  </w:style>
  <w:style w:type="character" w:styleId="949" w:customStyle="1">
    <w:name w:val="WW8Num18z8"/>
    <w:qFormat/>
  </w:style>
  <w:style w:type="character" w:styleId="950" w:customStyle="1">
    <w:name w:val="WW8Num19z0"/>
    <w:qFormat/>
  </w:style>
  <w:style w:type="character" w:styleId="951" w:customStyle="1">
    <w:name w:val="WW8Num19z1"/>
    <w:qFormat/>
    <w:rPr>
      <w:color w:val="000000"/>
    </w:rPr>
  </w:style>
  <w:style w:type="character" w:styleId="952" w:customStyle="1">
    <w:name w:val="WW8Num19z2"/>
    <w:qFormat/>
    <w:rPr>
      <w:b w:val="0"/>
    </w:rPr>
  </w:style>
  <w:style w:type="character" w:styleId="953" w:customStyle="1">
    <w:name w:val="WW8Num20z0"/>
    <w:qFormat/>
  </w:style>
  <w:style w:type="character" w:styleId="954" w:customStyle="1">
    <w:name w:val="WW8Num20z1"/>
    <w:qFormat/>
    <w:rPr>
      <w:rFonts w:ascii="Times New Roman" w:hAnsi="Times New Roman" w:cs="Times New Roman"/>
      <w:b w:val="0"/>
      <w:sz w:val="26"/>
      <w:szCs w:val="26"/>
    </w:rPr>
  </w:style>
  <w:style w:type="character" w:styleId="955" w:customStyle="1">
    <w:name w:val="WW8Num20z2"/>
    <w:qFormat/>
    <w:rPr>
      <w:b w:val="0"/>
    </w:rPr>
  </w:style>
  <w:style w:type="character" w:styleId="956" w:customStyle="1">
    <w:name w:val="WW8Num21z0"/>
    <w:qFormat/>
    <w:rPr>
      <w:sz w:val="24"/>
      <w:szCs w:val="26"/>
    </w:rPr>
  </w:style>
  <w:style w:type="character" w:styleId="957" w:customStyle="1">
    <w:name w:val="WW8Num21z1"/>
    <w:qFormat/>
  </w:style>
  <w:style w:type="character" w:styleId="958" w:customStyle="1">
    <w:name w:val="WW8Num21z2"/>
    <w:qFormat/>
  </w:style>
  <w:style w:type="character" w:styleId="959" w:customStyle="1">
    <w:name w:val="WW8Num21z3"/>
    <w:qFormat/>
  </w:style>
  <w:style w:type="character" w:styleId="960" w:customStyle="1">
    <w:name w:val="WW8Num21z4"/>
    <w:qFormat/>
  </w:style>
  <w:style w:type="character" w:styleId="961" w:customStyle="1">
    <w:name w:val="WW8Num21z5"/>
    <w:qFormat/>
  </w:style>
  <w:style w:type="character" w:styleId="962" w:customStyle="1">
    <w:name w:val="WW8Num21z6"/>
    <w:qFormat/>
  </w:style>
  <w:style w:type="character" w:styleId="963" w:customStyle="1">
    <w:name w:val="WW8Num21z7"/>
    <w:qFormat/>
  </w:style>
  <w:style w:type="character" w:styleId="964" w:customStyle="1">
    <w:name w:val="WW8Num21z8"/>
    <w:qFormat/>
  </w:style>
  <w:style w:type="character" w:styleId="965" w:customStyle="1">
    <w:name w:val="WW8Num22z0"/>
    <w:qFormat/>
    <w:rPr>
      <w:b/>
      <w:sz w:val="28"/>
      <w:szCs w:val="28"/>
    </w:rPr>
  </w:style>
  <w:style w:type="character" w:styleId="966" w:customStyle="1">
    <w:name w:val="WW8Num22z1"/>
    <w:qFormat/>
    <w:rPr>
      <w:b w:val="0"/>
      <w:sz w:val="28"/>
      <w:szCs w:val="28"/>
    </w:rPr>
  </w:style>
  <w:style w:type="character" w:styleId="967" w:customStyle="1">
    <w:name w:val="WW8Num22z2"/>
    <w:qFormat/>
    <w:rPr>
      <w:sz w:val="28"/>
      <w:szCs w:val="28"/>
    </w:rPr>
  </w:style>
  <w:style w:type="character" w:styleId="968" w:customStyle="1">
    <w:name w:val="WW8Num22z3"/>
    <w:qFormat/>
  </w:style>
  <w:style w:type="character" w:styleId="969" w:customStyle="1">
    <w:name w:val="WW8Num22z4"/>
    <w:qFormat/>
  </w:style>
  <w:style w:type="character" w:styleId="970" w:customStyle="1">
    <w:name w:val="WW8Num22z5"/>
    <w:qFormat/>
  </w:style>
  <w:style w:type="character" w:styleId="971" w:customStyle="1">
    <w:name w:val="WW8Num22z6"/>
    <w:qFormat/>
  </w:style>
  <w:style w:type="character" w:styleId="972" w:customStyle="1">
    <w:name w:val="WW8Num22z7"/>
    <w:qFormat/>
  </w:style>
  <w:style w:type="character" w:styleId="973" w:customStyle="1">
    <w:name w:val="WW8Num22z8"/>
    <w:qFormat/>
  </w:style>
  <w:style w:type="character" w:styleId="974" w:customStyle="1">
    <w:name w:val="WW8Num23z0"/>
    <w:qFormat/>
  </w:style>
  <w:style w:type="character" w:styleId="975" w:customStyle="1">
    <w:name w:val="WW8Num23z1"/>
    <w:qFormat/>
    <w:rPr>
      <w:rFonts w:ascii="Times New Roman" w:hAnsi="Times New Roman" w:cs="Times New Roman"/>
      <w:b w:val="0"/>
      <w:sz w:val="26"/>
      <w:szCs w:val="26"/>
    </w:rPr>
  </w:style>
  <w:style w:type="character" w:styleId="976" w:customStyle="1">
    <w:name w:val="WW8Num23z2"/>
    <w:qFormat/>
    <w:rPr>
      <w:b w:val="0"/>
    </w:rPr>
  </w:style>
  <w:style w:type="character" w:styleId="977" w:customStyle="1">
    <w:name w:val="WW8Num24z0"/>
    <w:qFormat/>
  </w:style>
  <w:style w:type="character" w:styleId="978" w:customStyle="1">
    <w:name w:val="WW8Num24z1"/>
    <w:qFormat/>
    <w:rPr>
      <w:b w:val="0"/>
    </w:rPr>
  </w:style>
  <w:style w:type="character" w:styleId="979" w:customStyle="1">
    <w:name w:val="WW8Num25z0"/>
    <w:qFormat/>
  </w:style>
  <w:style w:type="character" w:styleId="980" w:customStyle="1">
    <w:name w:val="WW8Num26z0"/>
    <w:qFormat/>
  </w:style>
  <w:style w:type="character" w:styleId="981" w:customStyle="1">
    <w:name w:val="WW8Num26z1"/>
    <w:qFormat/>
  </w:style>
  <w:style w:type="character" w:styleId="982" w:customStyle="1">
    <w:name w:val="WW8Num26z2"/>
    <w:qFormat/>
  </w:style>
  <w:style w:type="character" w:styleId="983" w:customStyle="1">
    <w:name w:val="WW8Num26z3"/>
    <w:qFormat/>
  </w:style>
  <w:style w:type="character" w:styleId="984" w:customStyle="1">
    <w:name w:val="WW8Num26z4"/>
    <w:qFormat/>
  </w:style>
  <w:style w:type="character" w:styleId="985" w:customStyle="1">
    <w:name w:val="WW8Num26z5"/>
    <w:qFormat/>
  </w:style>
  <w:style w:type="character" w:styleId="986" w:customStyle="1">
    <w:name w:val="WW8Num26z6"/>
    <w:qFormat/>
  </w:style>
  <w:style w:type="character" w:styleId="987" w:customStyle="1">
    <w:name w:val="WW8Num26z7"/>
    <w:qFormat/>
  </w:style>
  <w:style w:type="character" w:styleId="988" w:customStyle="1">
    <w:name w:val="WW8Num26z8"/>
    <w:qFormat/>
  </w:style>
  <w:style w:type="character" w:styleId="989" w:customStyle="1">
    <w:name w:val="WW8Num27z0"/>
    <w:qFormat/>
  </w:style>
  <w:style w:type="character" w:styleId="990" w:customStyle="1">
    <w:name w:val="WW8Num27z1"/>
    <w:qFormat/>
  </w:style>
  <w:style w:type="character" w:styleId="991" w:customStyle="1">
    <w:name w:val="WW8Num27z2"/>
    <w:qFormat/>
  </w:style>
  <w:style w:type="character" w:styleId="992" w:customStyle="1">
    <w:name w:val="WW8Num27z3"/>
    <w:qFormat/>
  </w:style>
  <w:style w:type="character" w:styleId="993" w:customStyle="1">
    <w:name w:val="WW8Num27z4"/>
    <w:qFormat/>
  </w:style>
  <w:style w:type="character" w:styleId="994" w:customStyle="1">
    <w:name w:val="WW8Num27z5"/>
    <w:qFormat/>
  </w:style>
  <w:style w:type="character" w:styleId="995" w:customStyle="1">
    <w:name w:val="WW8Num27z6"/>
    <w:qFormat/>
  </w:style>
  <w:style w:type="character" w:styleId="996" w:customStyle="1">
    <w:name w:val="WW8Num27z7"/>
    <w:qFormat/>
  </w:style>
  <w:style w:type="character" w:styleId="997" w:customStyle="1">
    <w:name w:val="WW8Num27z8"/>
    <w:qFormat/>
  </w:style>
  <w:style w:type="character" w:styleId="998" w:customStyle="1">
    <w:name w:val="WW8Num28z0"/>
    <w:qFormat/>
    <w:rPr>
      <w:sz w:val="26"/>
      <w:szCs w:val="26"/>
    </w:rPr>
  </w:style>
  <w:style w:type="character" w:styleId="999" w:customStyle="1">
    <w:name w:val="WW8Num28z1"/>
    <w:qFormat/>
  </w:style>
  <w:style w:type="character" w:styleId="1000" w:customStyle="1">
    <w:name w:val="WW8Num28z2"/>
    <w:qFormat/>
  </w:style>
  <w:style w:type="character" w:styleId="1001" w:customStyle="1">
    <w:name w:val="WW8Num28z3"/>
    <w:qFormat/>
  </w:style>
  <w:style w:type="character" w:styleId="1002" w:customStyle="1">
    <w:name w:val="WW8Num28z4"/>
    <w:qFormat/>
  </w:style>
  <w:style w:type="character" w:styleId="1003" w:customStyle="1">
    <w:name w:val="WW8Num28z5"/>
    <w:qFormat/>
  </w:style>
  <w:style w:type="character" w:styleId="1004" w:customStyle="1">
    <w:name w:val="WW8Num28z6"/>
    <w:qFormat/>
  </w:style>
  <w:style w:type="character" w:styleId="1005" w:customStyle="1">
    <w:name w:val="WW8Num28z7"/>
    <w:qFormat/>
  </w:style>
  <w:style w:type="character" w:styleId="1006" w:customStyle="1">
    <w:name w:val="WW8Num28z8"/>
    <w:qFormat/>
  </w:style>
  <w:style w:type="character" w:styleId="1007" w:customStyle="1">
    <w:name w:val="WW8Num29z0"/>
    <w:qFormat/>
  </w:style>
  <w:style w:type="character" w:styleId="1008" w:customStyle="1">
    <w:name w:val="WW8Num29z1"/>
    <w:qFormat/>
  </w:style>
  <w:style w:type="character" w:styleId="1009" w:customStyle="1">
    <w:name w:val="WW8Num29z2"/>
    <w:qFormat/>
  </w:style>
  <w:style w:type="character" w:styleId="1010" w:customStyle="1">
    <w:name w:val="WW8Num29z3"/>
    <w:qFormat/>
  </w:style>
  <w:style w:type="character" w:styleId="1011" w:customStyle="1">
    <w:name w:val="WW8Num29z4"/>
    <w:qFormat/>
  </w:style>
  <w:style w:type="character" w:styleId="1012" w:customStyle="1">
    <w:name w:val="WW8Num29z5"/>
    <w:qFormat/>
  </w:style>
  <w:style w:type="character" w:styleId="1013" w:customStyle="1">
    <w:name w:val="WW8Num29z6"/>
    <w:qFormat/>
  </w:style>
  <w:style w:type="character" w:styleId="1014" w:customStyle="1">
    <w:name w:val="WW8Num29z7"/>
    <w:qFormat/>
  </w:style>
  <w:style w:type="character" w:styleId="1015" w:customStyle="1">
    <w:name w:val="WW8Num29z8"/>
    <w:qFormat/>
  </w:style>
  <w:style w:type="character" w:styleId="1016" w:customStyle="1">
    <w:name w:val="WW8Num30z0"/>
    <w:qFormat/>
  </w:style>
  <w:style w:type="character" w:styleId="1017" w:customStyle="1">
    <w:name w:val="WW8Num30z1"/>
    <w:qFormat/>
    <w:rPr>
      <w:b w:val="0"/>
    </w:rPr>
  </w:style>
  <w:style w:type="character" w:styleId="1018" w:customStyle="1">
    <w:name w:val="WW8Num31z0"/>
    <w:qFormat/>
  </w:style>
  <w:style w:type="character" w:styleId="1019" w:customStyle="1">
    <w:name w:val="WW8Num31z6"/>
    <w:qFormat/>
    <w:rPr>
      <w:rFonts w:ascii="Times New Roman" w:hAnsi="Times New Roman" w:cs="Times New Roman"/>
    </w:rPr>
  </w:style>
  <w:style w:type="character" w:styleId="1020" w:customStyle="1">
    <w:name w:val="WW8Num32z0"/>
    <w:qFormat/>
  </w:style>
  <w:style w:type="character" w:styleId="1021" w:customStyle="1">
    <w:name w:val="WW8Num32z1"/>
    <w:qFormat/>
    <w:rPr>
      <w:color w:val="000000"/>
    </w:rPr>
  </w:style>
  <w:style w:type="character" w:styleId="1022" w:customStyle="1">
    <w:name w:val="WW8Num32z2"/>
    <w:qFormat/>
    <w:rPr>
      <w:b w:val="0"/>
    </w:rPr>
  </w:style>
  <w:style w:type="character" w:styleId="1023" w:customStyle="1">
    <w:name w:val="WW8Num33z0"/>
    <w:qFormat/>
    <w:rPr>
      <w:b/>
      <w:sz w:val="28"/>
    </w:rPr>
  </w:style>
  <w:style w:type="character" w:styleId="1024" w:customStyle="1">
    <w:name w:val="WW8Num33z1"/>
    <w:qFormat/>
  </w:style>
  <w:style w:type="character" w:styleId="1025" w:customStyle="1">
    <w:name w:val="WW8Num33z2"/>
    <w:qFormat/>
  </w:style>
  <w:style w:type="character" w:styleId="1026" w:customStyle="1">
    <w:name w:val="WW8Num33z3"/>
    <w:qFormat/>
  </w:style>
  <w:style w:type="character" w:styleId="1027" w:customStyle="1">
    <w:name w:val="WW8Num33z4"/>
    <w:qFormat/>
  </w:style>
  <w:style w:type="character" w:styleId="1028" w:customStyle="1">
    <w:name w:val="WW8Num33z5"/>
    <w:qFormat/>
  </w:style>
  <w:style w:type="character" w:styleId="1029" w:customStyle="1">
    <w:name w:val="WW8Num33z6"/>
    <w:qFormat/>
  </w:style>
  <w:style w:type="character" w:styleId="1030" w:customStyle="1">
    <w:name w:val="WW8Num33z7"/>
    <w:qFormat/>
  </w:style>
  <w:style w:type="character" w:styleId="1031" w:customStyle="1">
    <w:name w:val="WW8Num33z8"/>
    <w:qFormat/>
  </w:style>
  <w:style w:type="character" w:styleId="1032" w:customStyle="1">
    <w:name w:val="WW8Num34z0"/>
    <w:qFormat/>
    <w:rPr>
      <w:rFonts w:eastAsia="Calibri"/>
    </w:rPr>
  </w:style>
  <w:style w:type="character" w:styleId="1033" w:customStyle="1">
    <w:name w:val="WW8Num34z1"/>
    <w:qFormat/>
  </w:style>
  <w:style w:type="character" w:styleId="1034" w:customStyle="1">
    <w:name w:val="WW8Num34z2"/>
    <w:qFormat/>
  </w:style>
  <w:style w:type="character" w:styleId="1035" w:customStyle="1">
    <w:name w:val="WW8Num34z3"/>
    <w:qFormat/>
  </w:style>
  <w:style w:type="character" w:styleId="1036" w:customStyle="1">
    <w:name w:val="WW8Num34z4"/>
    <w:qFormat/>
  </w:style>
  <w:style w:type="character" w:styleId="1037" w:customStyle="1">
    <w:name w:val="WW8Num34z5"/>
    <w:qFormat/>
  </w:style>
  <w:style w:type="character" w:styleId="1038" w:customStyle="1">
    <w:name w:val="WW8Num34z6"/>
    <w:qFormat/>
  </w:style>
  <w:style w:type="character" w:styleId="1039" w:customStyle="1">
    <w:name w:val="WW8Num34z7"/>
    <w:qFormat/>
  </w:style>
  <w:style w:type="character" w:styleId="1040" w:customStyle="1">
    <w:name w:val="WW8Num34z8"/>
    <w:qFormat/>
  </w:style>
  <w:style w:type="character" w:styleId="1041" w:customStyle="1">
    <w:name w:val="WW8Num35z0"/>
    <w:qFormat/>
  </w:style>
  <w:style w:type="character" w:styleId="1042" w:customStyle="1">
    <w:name w:val="WW8Num35z1"/>
    <w:qFormat/>
    <w:rPr>
      <w:color w:val="000000"/>
    </w:rPr>
  </w:style>
  <w:style w:type="character" w:styleId="1043" w:customStyle="1">
    <w:name w:val="WW8Num35z2"/>
    <w:qFormat/>
    <w:rPr>
      <w:b w:val="0"/>
    </w:rPr>
  </w:style>
  <w:style w:type="character" w:styleId="1044" w:customStyle="1">
    <w:name w:val="Заголовок 1 Знак"/>
    <w:qFormat/>
    <w:rPr>
      <w:rFonts w:ascii="Cambria" w:hAnsi="Cambria" w:cs="Cambria"/>
      <w:b/>
      <w:bCs/>
      <w:sz w:val="32"/>
      <w:szCs w:val="32"/>
    </w:rPr>
  </w:style>
  <w:style w:type="character" w:styleId="1045" w:customStyle="1">
    <w:name w:val="Верхний колонтитул Знак"/>
    <w:qFormat/>
    <w:rPr>
      <w:sz w:val="24"/>
      <w:szCs w:val="24"/>
    </w:rPr>
  </w:style>
  <w:style w:type="character" w:styleId="1046">
    <w:name w:val="page number"/>
    <w:basedOn w:val="868"/>
  </w:style>
  <w:style w:type="character" w:styleId="1047" w:customStyle="1">
    <w:name w:val="Нижний колонтитул Знак"/>
    <w:qFormat/>
    <w:rPr>
      <w:sz w:val="24"/>
      <w:szCs w:val="24"/>
    </w:rPr>
  </w:style>
  <w:style w:type="character" w:styleId="1048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1049" w:customStyle="1">
    <w:name w:val="Текст сноски Знак"/>
    <w:basedOn w:val="868"/>
    <w:qFormat/>
  </w:style>
  <w:style w:type="character" w:styleId="1050" w:customStyle="1">
    <w:name w:val="Символ сноски"/>
    <w:qFormat/>
    <w:rPr>
      <w:vertAlign w:val="superscript"/>
    </w:rPr>
  </w:style>
  <w:style w:type="character" w:styleId="1051">
    <w:name w:val="annotation reference"/>
    <w:qFormat/>
    <w:rPr>
      <w:sz w:val="16"/>
      <w:szCs w:val="16"/>
    </w:rPr>
  </w:style>
  <w:style w:type="character" w:styleId="1052" w:customStyle="1">
    <w:name w:val="Текст примечания Знак"/>
    <w:basedOn w:val="868"/>
    <w:qFormat/>
  </w:style>
  <w:style w:type="character" w:styleId="1053" w:customStyle="1">
    <w:name w:val="Тема примечания Знак"/>
    <w:qFormat/>
    <w:rPr>
      <w:b/>
      <w:bCs/>
    </w:rPr>
  </w:style>
  <w:style w:type="character" w:styleId="1054" w:customStyle="1">
    <w:name w:val="Интернет-ссылка"/>
    <w:rPr>
      <w:color w:val="0000ff"/>
      <w:u w:val="single"/>
    </w:rPr>
  </w:style>
  <w:style w:type="character" w:styleId="1055" w:customStyle="1">
    <w:name w:val="Название Знак"/>
    <w:qFormat/>
    <w:rPr>
      <w:bCs/>
      <w:sz w:val="28"/>
      <w:szCs w:val="28"/>
    </w:rPr>
  </w:style>
  <w:style w:type="character" w:styleId="1056" w:customStyle="1">
    <w:name w:val="Выделение жирным"/>
    <w:qFormat/>
    <w:rPr>
      <w:sz w:val="28"/>
      <w:szCs w:val="28"/>
    </w:rPr>
  </w:style>
  <w:style w:type="character" w:styleId="1057" w:customStyle="1">
    <w:name w:val="Основной текст2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"/>
      <w:position w:val="0"/>
      <w:sz w:val="20"/>
      <w:szCs w:val="20"/>
      <w:highlight w:val="white"/>
      <w:u w:val="none"/>
      <w:vertAlign w:val="baseline"/>
      <w:lang w:val="ru-RU"/>
    </w:rPr>
  </w:style>
  <w:style w:type="character" w:styleId="1058" w:customStyle="1">
    <w:name w:val="Основной текст + 7"/>
    <w:qFormat/>
    <w:rPr>
      <w:rFonts w:ascii="Times New Roman" w:hAnsi="Times New Roman" w:eastAsia="Times New Roman" w:cs="Times New Roman"/>
      <w:b/>
      <w:bCs/>
      <w:i/>
      <w:iCs/>
      <w:caps w:val="0"/>
      <w:smallCaps w:val="0"/>
      <w:strike w:val="0"/>
      <w:color w:val="000000"/>
      <w:spacing w:val="-1"/>
      <w:position w:val="0"/>
      <w:sz w:val="15"/>
      <w:szCs w:val="15"/>
      <w:highlight w:val="white"/>
      <w:u w:val="none"/>
      <w:vertAlign w:val="baseline"/>
      <w:lang w:val="ru-RU"/>
    </w:rPr>
  </w:style>
  <w:style w:type="character" w:styleId="1059" w:customStyle="1">
    <w:name w:val="Основной текст + Курсив;Интервал 0 pt"/>
    <w:qFormat/>
    <w:rPr>
      <w:rFonts w:ascii="Times New Roman" w:hAnsi="Times New Roman" w:eastAsia="Times New Roman" w:cs="Times New Roman"/>
      <w:b w:val="0"/>
      <w:bCs w:val="0"/>
      <w:i/>
      <w:iCs/>
      <w:caps w:val="0"/>
      <w:smallCaps w:val="0"/>
      <w:strike w:val="0"/>
      <w:color w:val="000000"/>
      <w:spacing w:val="-4"/>
      <w:position w:val="0"/>
      <w:sz w:val="20"/>
      <w:szCs w:val="20"/>
      <w:highlight w:val="white"/>
      <w:u w:val="none"/>
      <w:vertAlign w:val="baseline"/>
      <w:lang w:val="ru-RU"/>
    </w:rPr>
  </w:style>
  <w:style w:type="character" w:styleId="1060" w:customStyle="1">
    <w:name w:val="Привязка сноски"/>
    <w:rPr>
      <w:vertAlign w:val="superscript"/>
    </w:rPr>
  </w:style>
  <w:style w:type="character" w:styleId="1061" w:customStyle="1">
    <w:name w:val="Heading 1 Char"/>
    <w:qFormat/>
    <w:rPr>
      <w:rFonts w:ascii="Arial" w:hAnsi="Arial" w:eastAsia="Arial" w:cs="Arial"/>
      <w:sz w:val="40"/>
      <w:szCs w:val="40"/>
    </w:rPr>
  </w:style>
  <w:style w:type="character" w:styleId="1062" w:customStyle="1">
    <w:name w:val="Heading 2 Char"/>
    <w:qFormat/>
    <w:rPr>
      <w:rFonts w:ascii="Arial" w:hAnsi="Arial" w:eastAsia="Arial" w:cs="Arial"/>
      <w:sz w:val="34"/>
    </w:rPr>
  </w:style>
  <w:style w:type="character" w:styleId="1063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1064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1065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1066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1067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1068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1069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1070" w:customStyle="1">
    <w:name w:val="Title Char"/>
    <w:qFormat/>
    <w:rPr>
      <w:sz w:val="48"/>
      <w:szCs w:val="48"/>
    </w:rPr>
  </w:style>
  <w:style w:type="character" w:styleId="1071" w:customStyle="1">
    <w:name w:val="Subtitle Char"/>
    <w:qFormat/>
    <w:rPr>
      <w:sz w:val="24"/>
      <w:szCs w:val="24"/>
    </w:rPr>
  </w:style>
  <w:style w:type="character" w:styleId="1072" w:customStyle="1">
    <w:name w:val="Quote Char"/>
    <w:qFormat/>
    <w:rPr>
      <w:i/>
    </w:rPr>
  </w:style>
  <w:style w:type="character" w:styleId="1073" w:customStyle="1">
    <w:name w:val="Intense Quote Char"/>
    <w:qFormat/>
    <w:rPr>
      <w:i/>
    </w:rPr>
  </w:style>
  <w:style w:type="character" w:styleId="1074" w:customStyle="1">
    <w:name w:val="Header Char"/>
    <w:qFormat/>
  </w:style>
  <w:style w:type="character" w:styleId="1075" w:customStyle="1">
    <w:name w:val="Footer Char"/>
    <w:qFormat/>
  </w:style>
  <w:style w:type="character" w:styleId="1076" w:customStyle="1">
    <w:name w:val="Footnote Text Char"/>
    <w:qFormat/>
    <w:rPr>
      <w:sz w:val="18"/>
    </w:rPr>
  </w:style>
  <w:style w:type="character" w:styleId="1077" w:customStyle="1">
    <w:name w:val="Footnote Characters"/>
    <w:qFormat/>
    <w:rPr>
      <w:vertAlign w:val="superscript"/>
    </w:rPr>
  </w:style>
  <w:style w:type="character" w:styleId="1078" w:customStyle="1">
    <w:name w:val="Absatz-Standardschriftart"/>
    <w:qFormat/>
  </w:style>
  <w:style w:type="character" w:styleId="1079" w:customStyle="1">
    <w:name w:val="Основной шрифт абзаца1"/>
    <w:qFormat/>
  </w:style>
  <w:style w:type="character" w:styleId="1080" w:customStyle="1">
    <w:name w:val="WW8Num2z8"/>
    <w:qFormat/>
  </w:style>
  <w:style w:type="character" w:styleId="1081" w:customStyle="1">
    <w:name w:val="WW8Num2z7"/>
    <w:qFormat/>
  </w:style>
  <w:style w:type="character" w:styleId="1082" w:customStyle="1">
    <w:name w:val="WW8Num2z6"/>
    <w:qFormat/>
  </w:style>
  <w:style w:type="character" w:styleId="1083" w:customStyle="1">
    <w:name w:val="WW8Num2z5"/>
    <w:qFormat/>
  </w:style>
  <w:style w:type="character" w:styleId="1084" w:customStyle="1">
    <w:name w:val="WW8Num2z4"/>
    <w:qFormat/>
  </w:style>
  <w:style w:type="character" w:styleId="1085" w:customStyle="1">
    <w:name w:val="WW8Num2z3"/>
    <w:qFormat/>
  </w:style>
  <w:style w:type="character" w:styleId="1086" w:customStyle="1">
    <w:name w:val="WW8Num1z8"/>
    <w:qFormat/>
  </w:style>
  <w:style w:type="character" w:styleId="1087" w:customStyle="1">
    <w:name w:val="WW8Num1z7"/>
    <w:qFormat/>
  </w:style>
  <w:style w:type="character" w:styleId="1088" w:customStyle="1">
    <w:name w:val="WW8Num1z6"/>
    <w:qFormat/>
  </w:style>
  <w:style w:type="character" w:styleId="1089" w:customStyle="1">
    <w:name w:val="WW8Num1z5"/>
    <w:qFormat/>
  </w:style>
  <w:style w:type="character" w:styleId="1090" w:customStyle="1">
    <w:name w:val="WW8Num1z4"/>
    <w:qFormat/>
  </w:style>
  <w:style w:type="character" w:styleId="1091" w:customStyle="1">
    <w:name w:val="WW8Num1z3"/>
    <w:qFormat/>
  </w:style>
  <w:style w:type="paragraph" w:styleId="1092">
    <w:name w:val="Title"/>
    <w:next w:val="1093"/>
    <w:qFormat/>
    <w:pPr>
      <w:contextualSpacing/>
      <w:spacing w:before="300" w:after="200"/>
      <w:shd w:val="clear" w:color="auto" w:fill="ffffff"/>
    </w:pPr>
    <w:rPr>
      <w:rFonts w:ascii="Times New Roman" w:hAnsi="Times New Roman" w:eastAsia="Times New Roman" w:cs="Times New Roman"/>
      <w:sz w:val="48"/>
      <w:szCs w:val="48"/>
      <w:lang w:eastAsia="en-US" w:bidi="en-US"/>
    </w:rPr>
  </w:style>
  <w:style w:type="paragraph" w:styleId="1093">
    <w:name w:val="Body Text"/>
    <w:basedOn w:val="858"/>
    <w:pPr>
      <w:spacing w:after="140" w:line="276" w:lineRule="auto"/>
    </w:pPr>
  </w:style>
  <w:style w:type="paragraph" w:styleId="1094">
    <w:name w:val="List"/>
    <w:basedOn w:val="1093"/>
    <w:rPr>
      <w:rFonts w:cs="Arial"/>
    </w:rPr>
  </w:style>
  <w:style w:type="paragraph" w:styleId="1095">
    <w:name w:val="Caption"/>
    <w:basedOn w:val="858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1096">
    <w:name w:val="index heading"/>
    <w:basedOn w:val="858"/>
    <w:qFormat/>
    <w:pPr>
      <w:suppressLineNumbers/>
    </w:pPr>
    <w:rPr>
      <w:rFonts w:cs="Arial"/>
    </w:rPr>
  </w:style>
  <w:style w:type="paragraph" w:styleId="1097" w:customStyle="1">
    <w:name w:val="Верхний и нижний колонтитулы"/>
    <w:basedOn w:val="858"/>
    <w:qFormat/>
    <w:pPr>
      <w:tabs>
        <w:tab w:val="center" w:pos="4819" w:leader="none"/>
        <w:tab w:val="right" w:pos="9638" w:leader="none"/>
      </w:tabs>
      <w:suppressLineNumbers/>
    </w:pPr>
  </w:style>
  <w:style w:type="paragraph" w:styleId="1098">
    <w:name w:val="Header"/>
    <w:basedOn w:val="858"/>
    <w:pPr>
      <w:tabs>
        <w:tab w:val="center" w:pos="4677" w:leader="none"/>
        <w:tab w:val="right" w:pos="9355" w:leader="none"/>
      </w:tabs>
    </w:pPr>
  </w:style>
  <w:style w:type="paragraph" w:styleId="1099">
    <w:name w:val="Footer"/>
    <w:basedOn w:val="858"/>
    <w:pPr>
      <w:tabs>
        <w:tab w:val="center" w:pos="4677" w:leader="none"/>
        <w:tab w:val="right" w:pos="9355" w:leader="none"/>
      </w:tabs>
    </w:pPr>
  </w:style>
  <w:style w:type="paragraph" w:styleId="1100">
    <w:name w:val="Balloon Text"/>
    <w:basedOn w:val="858"/>
    <w:qFormat/>
    <w:rPr>
      <w:rFonts w:ascii="Tahoma" w:hAnsi="Tahoma" w:cs="Tahoma"/>
      <w:sz w:val="16"/>
      <w:szCs w:val="16"/>
    </w:rPr>
  </w:style>
  <w:style w:type="paragraph" w:styleId="1101">
    <w:name w:val="footnote text"/>
    <w:basedOn w:val="858"/>
    <w:rPr>
      <w:sz w:val="20"/>
      <w:szCs w:val="20"/>
    </w:rPr>
  </w:style>
  <w:style w:type="paragraph" w:styleId="1102" w:customStyle="1">
    <w:name w:val="Char"/>
    <w:basedOn w:val="858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1103">
    <w:name w:val="annotation text"/>
    <w:basedOn w:val="858"/>
    <w:qFormat/>
    <w:rPr>
      <w:sz w:val="20"/>
      <w:szCs w:val="20"/>
    </w:rPr>
  </w:style>
  <w:style w:type="paragraph" w:styleId="1104">
    <w:name w:val="annotation subject"/>
    <w:basedOn w:val="1103"/>
    <w:next w:val="1103"/>
    <w:qFormat/>
    <w:rPr>
      <w:b/>
      <w:bCs/>
    </w:rPr>
  </w:style>
  <w:style w:type="paragraph" w:styleId="1105" w:customStyle="1">
    <w:name w:val="Название1"/>
    <w:basedOn w:val="1092"/>
    <w:qFormat/>
    <w:pPr>
      <w:jc w:val="center"/>
    </w:pPr>
    <w:rPr>
      <w:rFonts w:ascii="Cambria" w:hAnsi="Cambria" w:cs="Cambria"/>
      <w:b/>
    </w:rPr>
  </w:style>
  <w:style w:type="paragraph" w:styleId="1106">
    <w:name w:val="Document Map"/>
    <w:basedOn w:val="858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107" w:customStyle="1">
    <w:name w:val="Нумерация"/>
    <w:basedOn w:val="858"/>
    <w:qFormat/>
    <w:pPr>
      <w:jc w:val="both"/>
    </w:pPr>
    <w:rPr>
      <w:sz w:val="26"/>
    </w:rPr>
  </w:style>
  <w:style w:type="paragraph" w:styleId="1108" w:customStyle="1">
    <w:name w:val="ConsPlusNormal"/>
    <w:qFormat/>
    <w:rPr>
      <w:rFonts w:ascii="Times New Roman" w:hAnsi="Times New Roman" w:eastAsia="Times New Roman" w:cs="Times New Roman"/>
      <w:sz w:val="26"/>
      <w:szCs w:val="26"/>
      <w:lang w:bidi="ar-SA"/>
    </w:rPr>
  </w:style>
  <w:style w:type="paragraph" w:styleId="1109" w:customStyle="1">
    <w:name w:val="ConsPlusNonformat"/>
    <w:qFormat/>
    <w:pPr>
      <w:widowControl w:val="off"/>
    </w:pPr>
    <w:rPr>
      <w:rFonts w:ascii="Courier New" w:hAnsi="Courier New" w:eastAsia="Times New Roman" w:cs="Courier New"/>
      <w:szCs w:val="20"/>
      <w:lang w:bidi="ar-SA"/>
    </w:rPr>
  </w:style>
  <w:style w:type="paragraph" w:styleId="1110" w:customStyle="1">
    <w:name w:val="Основной текст3"/>
    <w:basedOn w:val="858"/>
    <w:qFormat/>
    <w:pPr>
      <w:jc w:val="center"/>
      <w:spacing w:after="240" w:line="250" w:lineRule="exact"/>
    </w:pPr>
    <w:rPr>
      <w:color w:val="000000"/>
      <w:spacing w:val="2"/>
      <w:sz w:val="20"/>
      <w:szCs w:val="20"/>
    </w:rPr>
  </w:style>
  <w:style w:type="paragraph" w:styleId="1111">
    <w:name w:val="List Paragraph"/>
    <w:basedOn w:val="858"/>
    <w:qFormat/>
    <w:pPr>
      <w:contextualSpacing/>
      <w:ind w:left="720"/>
    </w:pPr>
  </w:style>
  <w:style w:type="paragraph" w:styleId="1112" w:customStyle="1">
    <w:name w:val="Содержимое таблицы"/>
    <w:basedOn w:val="858"/>
    <w:qFormat/>
    <w:pPr>
      <w:suppressLineNumbers/>
    </w:pPr>
  </w:style>
  <w:style w:type="paragraph" w:styleId="1113" w:customStyle="1">
    <w:name w:val="Заголовок таблицы"/>
    <w:basedOn w:val="1112"/>
    <w:qFormat/>
    <w:pPr>
      <w:jc w:val="center"/>
    </w:pPr>
    <w:rPr>
      <w:b/>
      <w:bCs/>
    </w:rPr>
  </w:style>
  <w:style w:type="paragraph" w:styleId="1114" w:customStyle="1">
    <w:name w:val="Содержимое врезки"/>
    <w:basedOn w:val="858"/>
    <w:qFormat/>
  </w:style>
  <w:style w:type="paragraph" w:styleId="1115" w:customStyle="1">
    <w:name w:val="ConsPlusTitle"/>
    <w:qFormat/>
    <w:pPr>
      <w:widowControl w:val="off"/>
    </w:pPr>
    <w:rPr>
      <w:rFonts w:ascii="Calibri" w:hAnsi="Calibri" w:eastAsia="Times New Roman" w:cs="Calibri"/>
      <w:b/>
      <w:sz w:val="22"/>
      <w:szCs w:val="20"/>
      <w:lang w:bidi="ar-SA"/>
    </w:rPr>
  </w:style>
  <w:style w:type="paragraph" w:styleId="1116">
    <w:name w:val="Normal (Web)"/>
    <w:basedOn w:val="858"/>
    <w:qFormat/>
    <w:pPr>
      <w:spacing w:before="280" w:after="280"/>
      <w:widowControl/>
    </w:pPr>
    <w:rPr>
      <w:rFonts w:ascii="Times New Roman" w:hAnsi="Times New Roman"/>
      <w:sz w:val="24"/>
      <w:szCs w:val="24"/>
    </w:rPr>
  </w:style>
  <w:style w:type="paragraph" w:styleId="1117">
    <w:name w:val="No Spac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18">
    <w:name w:val="Subtitle"/>
    <w:next w:val="1093"/>
    <w:qFormat/>
    <w:pPr>
      <w:spacing w:before="200" w:after="200"/>
      <w:shd w:val="clear" w:color="auto" w:fill="ffffff"/>
    </w:pPr>
    <w:rPr>
      <w:rFonts w:ascii="Times New Roman" w:hAnsi="Times New Roman" w:eastAsia="Times New Roman" w:cs="Times New Roman"/>
      <w:sz w:val="24"/>
      <w:lang w:eastAsia="en-US" w:bidi="en-US"/>
    </w:rPr>
  </w:style>
  <w:style w:type="paragraph" w:styleId="1119">
    <w:name w:val="Quote"/>
    <w:qFormat/>
    <w:pPr>
      <w:ind w:left="720" w:right="720"/>
      <w:shd w:val="clear" w:color="auto" w:fill="ffffff"/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1120">
    <w:name w:val="Intense Quote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1121">
    <w:name w:val="toc 1"/>
    <w:pPr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2">
    <w:name w:val="toc 2"/>
    <w:pPr>
      <w:ind w:left="283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3">
    <w:name w:val="toc 3"/>
    <w:pPr>
      <w:ind w:left="56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4">
    <w:name w:val="toc 4"/>
    <w:pPr>
      <w:ind w:left="850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5">
    <w:name w:val="toc 5"/>
    <w:pPr>
      <w:ind w:left="113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6">
    <w:name w:val="toc 6"/>
    <w:pPr>
      <w:ind w:left="141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7">
    <w:name w:val="toc 7"/>
    <w:pPr>
      <w:ind w:left="1701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8">
    <w:name w:val="toc 8"/>
    <w:pPr>
      <w:ind w:left="198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9">
    <w:name w:val="toc 9"/>
    <w:pPr>
      <w:ind w:left="2268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30">
    <w:name w:val="TOC Head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31" w:customStyle="1">
    <w:name w:val="Указатель1"/>
    <w:basedOn w:val="858"/>
    <w:qFormat/>
  </w:style>
  <w:style w:type="paragraph" w:styleId="1132">
    <w:name w:val="Body Text Indent 2"/>
    <w:basedOn w:val="858"/>
    <w:qFormat/>
    <w:pPr>
      <w:ind w:firstLine="1134"/>
      <w:jc w:val="both"/>
    </w:pPr>
    <w:rPr>
      <w:rFonts w:ascii="Times New Roman" w:hAnsi="Times New Roman"/>
      <w:sz w:val="24"/>
      <w:szCs w:val="20"/>
      <w:lang w:eastAsia="zh-CN"/>
    </w:rPr>
  </w:style>
  <w:style w:type="numbering" w:styleId="1133" w:customStyle="1">
    <w:name w:val="WW8Num1"/>
    <w:qFormat/>
  </w:style>
  <w:style w:type="numbering" w:styleId="1134" w:customStyle="1">
    <w:name w:val="WW8Num2"/>
    <w:qFormat/>
  </w:style>
  <w:style w:type="numbering" w:styleId="1135" w:customStyle="1">
    <w:name w:val="WW8Num3"/>
    <w:qFormat/>
  </w:style>
  <w:style w:type="numbering" w:styleId="1136" w:customStyle="1">
    <w:name w:val="WW8Num4"/>
    <w:qFormat/>
  </w:style>
  <w:style w:type="numbering" w:styleId="1137" w:customStyle="1">
    <w:name w:val="WW8Num5"/>
    <w:qFormat/>
  </w:style>
  <w:style w:type="numbering" w:styleId="1138" w:customStyle="1">
    <w:name w:val="WW8Num6"/>
    <w:qFormat/>
  </w:style>
  <w:style w:type="numbering" w:styleId="1139" w:customStyle="1">
    <w:name w:val="WW8Num7"/>
    <w:qFormat/>
  </w:style>
  <w:style w:type="numbering" w:styleId="1140" w:customStyle="1">
    <w:name w:val="WW8Num8"/>
    <w:qFormat/>
  </w:style>
  <w:style w:type="numbering" w:styleId="1141" w:customStyle="1">
    <w:name w:val="WW8Num9"/>
    <w:qFormat/>
  </w:style>
  <w:style w:type="numbering" w:styleId="1142" w:customStyle="1">
    <w:name w:val="WW8Num10"/>
    <w:qFormat/>
  </w:style>
  <w:style w:type="numbering" w:styleId="1143" w:customStyle="1">
    <w:name w:val="WW8Num11"/>
    <w:qFormat/>
  </w:style>
  <w:style w:type="numbering" w:styleId="1144" w:customStyle="1">
    <w:name w:val="WW8Num12"/>
    <w:qFormat/>
  </w:style>
  <w:style w:type="numbering" w:styleId="1145" w:customStyle="1">
    <w:name w:val="WW8Num13"/>
    <w:qFormat/>
  </w:style>
  <w:style w:type="numbering" w:styleId="1146" w:customStyle="1">
    <w:name w:val="WW8Num14"/>
    <w:qFormat/>
  </w:style>
  <w:style w:type="numbering" w:styleId="1147" w:customStyle="1">
    <w:name w:val="WW8Num15"/>
    <w:qFormat/>
  </w:style>
  <w:style w:type="numbering" w:styleId="1148" w:customStyle="1">
    <w:name w:val="WW8Num16"/>
    <w:qFormat/>
  </w:style>
  <w:style w:type="numbering" w:styleId="1149" w:customStyle="1">
    <w:name w:val="WW8Num17"/>
    <w:qFormat/>
  </w:style>
  <w:style w:type="numbering" w:styleId="1150" w:customStyle="1">
    <w:name w:val="WW8Num18"/>
    <w:qFormat/>
  </w:style>
  <w:style w:type="numbering" w:styleId="1151" w:customStyle="1">
    <w:name w:val="WW8Num19"/>
    <w:qFormat/>
  </w:style>
  <w:style w:type="numbering" w:styleId="1152" w:customStyle="1">
    <w:name w:val="WW8Num20"/>
    <w:qFormat/>
  </w:style>
  <w:style w:type="numbering" w:styleId="1153" w:customStyle="1">
    <w:name w:val="WW8Num21"/>
    <w:qFormat/>
  </w:style>
  <w:style w:type="numbering" w:styleId="1154" w:customStyle="1">
    <w:name w:val="WW8Num22"/>
    <w:qFormat/>
  </w:style>
  <w:style w:type="numbering" w:styleId="1155" w:customStyle="1">
    <w:name w:val="WW8Num23"/>
    <w:qFormat/>
  </w:style>
  <w:style w:type="numbering" w:styleId="1156" w:customStyle="1">
    <w:name w:val="WW8Num24"/>
    <w:qFormat/>
  </w:style>
  <w:style w:type="numbering" w:styleId="1157" w:customStyle="1">
    <w:name w:val="WW8Num25"/>
    <w:qFormat/>
  </w:style>
  <w:style w:type="numbering" w:styleId="1158" w:customStyle="1">
    <w:name w:val="WW8Num26"/>
    <w:qFormat/>
  </w:style>
  <w:style w:type="numbering" w:styleId="1159" w:customStyle="1">
    <w:name w:val="WW8Num27"/>
    <w:qFormat/>
  </w:style>
  <w:style w:type="numbering" w:styleId="1160" w:customStyle="1">
    <w:name w:val="WW8Num28"/>
    <w:qFormat/>
  </w:style>
  <w:style w:type="numbering" w:styleId="1161" w:customStyle="1">
    <w:name w:val="WW8Num29"/>
    <w:qFormat/>
  </w:style>
  <w:style w:type="numbering" w:styleId="1162" w:customStyle="1">
    <w:name w:val="WW8Num30"/>
    <w:qFormat/>
  </w:style>
  <w:style w:type="numbering" w:styleId="1163" w:customStyle="1">
    <w:name w:val="WW8Num31"/>
    <w:qFormat/>
  </w:style>
  <w:style w:type="numbering" w:styleId="1164" w:customStyle="1">
    <w:name w:val="WW8Num32"/>
    <w:qFormat/>
  </w:style>
  <w:style w:type="numbering" w:styleId="1165" w:customStyle="1">
    <w:name w:val="WW8Num33"/>
    <w:qFormat/>
  </w:style>
  <w:style w:type="numbering" w:styleId="1166" w:customStyle="1">
    <w:name w:val="WW8Num34"/>
    <w:qFormat/>
  </w:style>
  <w:style w:type="numbering" w:styleId="1167" w:customStyle="1">
    <w:name w:val="WW8Num35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consultantplus://offline/ref=3B12DBF9DA4F655A3950F706F739D7FE7793F5E3BB745CF96FD88E96074277859D524A668E09FE57A7B968P7iBJ" TargetMode="External"/><Relationship Id="rId13" Type="http://schemas.openxmlformats.org/officeDocument/2006/relationships/hyperlink" Target="consultantplus://offline/ref=3B12DBF9DA4F655A3950F706F739D7FE7793F5E3B57654F765D88E96074277859D524A668E09FE57A6BF68P7i8J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3E918-07AC-49BC-9035-C6944F267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формы сводного отчета</dc:title>
  <dc:subject/>
  <dc:creator>User</dc:creator>
  <dc:description/>
  <dc:language>ru-RU</dc:language>
  <cp:revision>18</cp:revision>
  <dcterms:created xsi:type="dcterms:W3CDTF">2022-04-06T08:42:00Z</dcterms:created>
  <dcterms:modified xsi:type="dcterms:W3CDTF">2024-11-13T06:58:16Z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">
    <vt:lpwstr/>
  </property>
  <property fmtid="{D5CDD505-2E9C-101B-9397-08002B2CF9AE}" pid="3" name="???????????">
    <vt:lpwstr/>
  </property>
  <property fmtid="{D5CDD505-2E9C-101B-9397-08002B2CF9AE}" pid="4" name="_EmailEntryID">
    <vt:lpwstr>000000006C99AEA244DAEA48828CE5E6EEDACC210700A771B9B9CB6DC64C96DC251FA1473B830000007A85980000A771B9B9CB6DC64C96DC251FA1473B83000009F7C3330000</vt:lpwstr>
  </property>
  <property fmtid="{D5CDD505-2E9C-101B-9397-08002B2CF9AE}" pid="5" name="_EmailStoreID0">
    <vt:lpwstr>0000000038A1BB1005E5101AA1BB08002B2A56C20000454D534D44422E444C4C00000000000000001B55FA20AA6611CD9BC800AA002FC45A0C000000532D4558434843002F6F3D436974792048616C6C206F66204B6F7374726F6D612F6F753D45786368616E67652041646D696E6973747261746976652047726F757020284</vt:lpwstr>
  </property>
  <property fmtid="{D5CDD505-2E9C-101B-9397-08002B2CF9AE}" pid="6" name="_EmailStoreID1">
    <vt:lpwstr>6594449424F484632335350444C54292F636E3D526563697069656E74732F636E3D75736572623230656362653100</vt:lpwstr>
  </property>
  <property fmtid="{D5CDD505-2E9C-101B-9397-08002B2CF9AE}" pid="7" name="_EmailStoreID2">
    <vt:lpwstr>00750000000000</vt:lpwstr>
  </property>
  <property fmtid="{D5CDD505-2E9C-101B-9397-08002B2CF9AE}" pid="8" name="_NewReviewCycle">
    <vt:lpwstr/>
  </property>
  <property fmtid="{D5CDD505-2E9C-101B-9397-08002B2CF9AE}" pid="9" name="_ReviewCycleID">
    <vt:i4>-1032105739</vt:i4>
  </property>
  <property fmtid="{D5CDD505-2E9C-101B-9397-08002B2CF9AE}" pid="10" name="_ReviewingToolsShownOnce">
    <vt:lpwstr/>
  </property>
  <property fmtid="{D5CDD505-2E9C-101B-9397-08002B2CF9AE}" pid="11" name="_TentativeReviewCycleID">
    <vt:i4>-1032105739</vt:i4>
  </property>
</Properties>
</file>