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fill="FFFFFF" w:val="clear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/>
          <w:b/>
          <w:sz w:val="26"/>
          <w:szCs w:val="26"/>
        </w:rPr>
        <w:t xml:space="preserve">Об утверждении документации по планировке территории </w:t>
      </w:r>
      <w:r>
        <w:rPr>
          <w:rFonts w:eastAsia="Calibri" w:cs="Times New Roman" w:ascii="Times New Roman" w:hAnsi="Times New Roman"/>
          <w:b/>
          <w:sz w:val="26"/>
          <w:szCs w:val="26"/>
          <w:lang w:eastAsia="ar-SA" w:bidi="ar-SA"/>
        </w:rPr>
        <w:t>в границах кадастрового квартала 44:27:060403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21.08</w:t>
            </w:r>
            <w:r>
              <w:rPr>
                <w:rFonts w:ascii="Times New Roman" w:hAnsi="Times New Roman"/>
                <w:sz w:val="26"/>
                <w:szCs w:val="26"/>
              </w:rPr>
              <w:t>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fill="FFFFFF" w:val="clea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1"/>
        <w:gridCol w:w="289"/>
        <w:gridCol w:w="3219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645" cy="19621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 w:bidi="ar-SA"/>
              </w:rPr>
              <w:t>в границах кадастрового квартала 44:27:060403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межевания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2024 года №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документации по планировке территории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в границах кадастрового квартала 44:27:060403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fill="FFFFFF" w:val="clear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fill="FFFFFF" w:val="clear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22860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2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fill="FFFFFF" w:val="clear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0.05pt;width:36.25pt;height:1.7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fill="FFFFFF" w:val="clear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pBdr/>
                    <w:shd w:fill="FFFFFF" w:val="clear"/>
                    <w:spacing w:lineRule="atLeast" w:line="288" w:before="0" w:after="0"/>
                    <w:ind w:left="0" w:right="0" w:firstLine="54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документации по планировке территории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 w:bidi="ar-SA"/>
                    </w:rPr>
                    <w:t>в границах кадастрового квартала 44:27:060403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»</w:t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обусловлено намерением заинтересованного лица 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перераспределить границы земельн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ых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 xml:space="preserve"> участк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ов по улице Зеленой, находящихся в собственности</w:t>
                  </w:r>
                  <w:r>
                    <w:rPr>
                      <w:rFonts w:eastAsia="Times New Roman" w:cs="Times New Roman" w:ascii="Times New Roman" w:hAnsi="Times New Roman"/>
                      <w:color w:val="000000" w:themeColor="text1"/>
                      <w:sz w:val="24"/>
                      <w:szCs w:val="24"/>
                      <w:u w:val="none"/>
                      <w:lang w:eastAsia="en-US"/>
                    </w:rPr>
                    <w:t>, с землями, государственная собственность на которые не разграничена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>
                  <w:pPr>
                    <w:pStyle w:val="Normal"/>
                    <w:shd w:fill="FFFFFF" w:val="clear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1010" cy="210185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440" cy="209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2pt;height:16.4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возможности рационального использования земельных участков под объектами капитального строительства;</w:t>
            </w:r>
          </w:p>
          <w:p>
            <w:pPr>
              <w:pStyle w:val="Normal"/>
              <w:shd w:fill="FFFFFF" w:val="clear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сформированных границ земельных участков под территорией общего пользования и объектами капитального строительства;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pBdr/>
              <w:shd w:fill="FFFFFF" w:val="clear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</w:t>
            </w:r>
            <w:r>
              <w:rPr>
                <w:rFonts w:ascii="Times New Roman" w:hAnsi="Times New Roman"/>
                <w:sz w:val="24"/>
                <w:szCs w:val="24"/>
              </w:rPr>
              <w:t>перераспределения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находящихся в собственности, с </w:t>
            </w: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/>
                <w:sz w:val="24"/>
                <w:szCs w:val="24"/>
              </w:rPr>
              <w:t>лями</w:t>
            </w:r>
            <w:r>
              <w:rPr>
                <w:rFonts w:ascii="Times New Roman" w:hAnsi="Times New Roman"/>
                <w:sz w:val="24"/>
                <w:szCs w:val="24"/>
              </w:rPr>
              <w:t>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fill="FFFFFF" w:val="clear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770" cy="196215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9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7740015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fill="FFFFFF" w:val="clear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609.4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1175" cy="196215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8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1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fill="FFFFFF" w:val="clea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2290" cy="208915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800" cy="20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fill="FFFFFF" w:val="clear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6pt;height:16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fill="FFFFFF" w:val="clear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разграничена;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- установление красных линий по границам существующего элемента планировочной структуры (квартала)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;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- образование земельных участков (территорий) общего пользования.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ООО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Центр кадастровых услуг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fill="FFFFFF" w:val="clea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0"/>
        <w:gridCol w:w="5535"/>
        <w:gridCol w:w="4304"/>
      </w:tblGrid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fill="FFFFFF" w:val="clear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Принимая во внимание требования земельного законодательства о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б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образование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 xml:space="preserve"> земельных участков в границах территории, на которой расположены 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объекты недвижимости нежилого назначения</w:t>
            </w:r>
            <w:r>
              <w:rPr>
                <w:rFonts w:eastAsia="Calibri" w:ascii="Times New Roman" w:hAnsi="Times New Roman" w:eastAsiaTheme="minorHAnsi"/>
                <w:i w:val="false"/>
                <w:iCs w:val="false"/>
                <w:sz w:val="24"/>
                <w:szCs w:val="24"/>
                <w:lang w:eastAsia="en-US"/>
              </w:rPr>
              <w:t>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fill="FFFFFF" w:val="clear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pBdr/>
              <w:shd w:val="clear" w:color="FFFFFF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физические и юридические лица, индивидуальные предприниматели, являющиеся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правообладател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земельных участков, объектов капитального строительства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участков, то интересы будут затронуты правообладателей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fill="FFFFFF" w:val="clear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fill="FFFFFF" w:val="clear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3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fill="FFFFFF" w:val="clear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fill="FFFFFF" w:val="clea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fill="FFFFFF" w:val="clear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fill="FFFFFF" w:val="clear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физические и юридические лица, индивидуальные предприниматели, являющиеся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правообладател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ями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fill="FFFFFF" w:val="clear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20" w:type="dxa"/>
            <w:tcBorders/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39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pBdr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физические и юридические лица, индивидуальные предприниматели, являющиеся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правообладател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ями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fill="FFFFFF" w:val="clear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815" cy="196215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3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fill="FFFFFF" w:val="clear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25pt;height:15.3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fill="FFFFFF" w:val="clea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fill="FFFFFF" w:val="clear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fill="FFFFFF" w:val="clear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645" cy="196215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1160" cy="19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fill="FFFFFF" w:val="clear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25pt;height:15.3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fill="FFFFFF" w:val="clear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6"/>
        <w:gridCol w:w="1008"/>
        <w:gridCol w:w="607"/>
        <w:gridCol w:w="2997"/>
        <w:gridCol w:w="41"/>
        <w:gridCol w:w="788"/>
        <w:gridCol w:w="162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fill="FFFFFF" w:val="clea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fill="FFFFFF" w:val="clear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before="120" w:after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20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645" cy="196215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fill="FFFFFF" w:val="clear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exact" w:line="18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fill="FFFFFF" w:val="clear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25pt;height:15.3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4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4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-3.8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645" cy="196215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2.55pt;margin-top:1.45pt;width:36.25pt;height:15.3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ar-SA" w:bidi="ar-SA"/>
              </w:rPr>
              <w:t>в границах кадастрового квартала 44:27:060403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shd w:fill="FFFFFF" w:val="clear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Достигнутым результатом решения данной проблемы является подготовленный Проект, предусматривающий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u w:val="none"/>
                <w:shd w:fill="auto" w:val="clear"/>
              </w:rPr>
              <w:t>перераспределение границ земельных участков, расположенных по улице Зеленой, 8а, 10б, 12, ул. Базовой, 2, 2б, 8в, 8д,  ул. Деминской, 11/2, ул. Индустриальной, 48, 67а, 71, с землями, государственная собственность на которые не разграничена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ind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fill="FFFFFF" w:val="clear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fill="FFFFFF" w:val="clear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fill="FFFFFF" w:val="clea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fill="FFFFFF" w:val="clea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Иные необходимые, по мнению разработчика, сведения: В рамках проведения оценки регулирующего воздействия в период со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fill="FFFFFF" w:val="clear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fill="FFFFFF" w:val="clear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645" cy="196215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60" cy="1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fill="FFFFFF" w:val="clear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fill="FFFFFF" w:val="clea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25pt;height:15.3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fill="FFFFFF" w:val="clear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fill="FFFFFF" w:val="clea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8385" cy="183515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9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fill="FFFFFF" w:val="clear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45pt;height:14.3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fill="FFFFFF" w:val="clear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fill="FFFFFF" w:val="clear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9">
    <w:name w:val="List"/>
    <w:basedOn w:val="Style18"/>
    <w:pPr>
      <w:shd w:fill="FFFFFF" w:val="clear"/>
    </w:pPr>
    <w:rPr>
      <w:rFonts w:cs="Arial"/>
    </w:rPr>
  </w:style>
  <w:style w:type="paragraph" w:styleId="Style20">
    <w:name w:val="Caption"/>
    <w:basedOn w:val="Normal"/>
    <w:link w:val="725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fill="FFFFFF" w:val="clear"/>
    </w:pPr>
    <w:rPr>
      <w:sz w:val="20"/>
      <w:szCs w:val="20"/>
    </w:rPr>
  </w:style>
  <w:style w:type="paragraph" w:styleId="Char" w:customStyle="1">
    <w:name w:val="Char"/>
    <w:basedOn w:val="Normal"/>
    <w:qFormat/>
    <w:pPr>
      <w:shd w:fill="FFFFFF" w:val="clear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fill="FFFFFF" w:val="clear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fill="FFFFFF" w:val="clear"/>
    </w:pPr>
    <w:rPr>
      <w:b/>
      <w:bCs/>
    </w:rPr>
  </w:style>
  <w:style w:type="paragraph" w:styleId="13" w:customStyle="1">
    <w:name w:val="Название1"/>
    <w:basedOn w:val="Style23"/>
    <w:qFormat/>
    <w:pPr>
      <w:shd w:fill="FFFFFF" w:val="clear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fill="FFFFFF" w:val="clear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31" w:customStyle="1">
    <w:name w:val="Основной текст3"/>
    <w:basedOn w:val="Normal"/>
    <w:qFormat/>
    <w:pPr>
      <w:shd w:fill="FFFFFF" w:val="clear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30" w:customStyle="1">
    <w:name w:val="Заголовок таблицы"/>
    <w:basedOn w:val="Style29"/>
    <w:qFormat/>
    <w:pPr>
      <w:shd w:fill="FFFFFF" w:val="clear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fill="FFFFFF" w:val="clear"/>
    </w:pPr>
    <w:rPr/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bidi="ar-SA" w:val="ru-RU" w:eastAsia="zh-CN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32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2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2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2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 LibreOffice_project/3d775be2011f3886db32dfd395a6a6d1ca2630ff</Application>
  <Pages>10</Pages>
  <Words>2058</Words>
  <Characters>15836</Characters>
  <CharactersWithSpaces>17704</CharactersWithSpaces>
  <Paragraphs>228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2025-08-21T09:18:43Z</dcterms:modified>
  <cp:revision>24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