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 xml:space="preserve">Об утверждении </w:t>
      </w:r>
      <w:r>
        <w:rPr>
          <w:rFonts w:eastAsia="Calibri" w:ascii="Times New Roman" w:hAnsi="Times New Roman"/>
          <w:b/>
          <w:sz w:val="26"/>
          <w:szCs w:val="26"/>
        </w:rPr>
        <w:t xml:space="preserve">изменений в </w:t>
      </w:r>
      <w:r>
        <w:rPr>
          <w:rFonts w:eastAsia="Calibri" w:ascii="Times New Roman" w:hAnsi="Times New Roman"/>
          <w:b/>
          <w:sz w:val="26"/>
          <w:szCs w:val="26"/>
        </w:rPr>
        <w:t>документаци</w:t>
      </w:r>
      <w:r>
        <w:rPr>
          <w:rFonts w:eastAsia="Calibri" w:ascii="Times New Roman" w:hAnsi="Times New Roman"/>
          <w:b/>
          <w:sz w:val="26"/>
          <w:szCs w:val="26"/>
        </w:rPr>
        <w:t>ю</w:t>
      </w:r>
      <w:r>
        <w:rPr>
          <w:rFonts w:eastAsia="Calibri" w:ascii="Times New Roman" w:hAnsi="Times New Roman"/>
          <w:b/>
          <w:sz w:val="26"/>
          <w:szCs w:val="26"/>
        </w:rPr>
        <w:t xml:space="preserve">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улицами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ar-SA" w:bidi="ar-SA"/>
        </w:rPr>
        <w:t>Шагова, Смоленской, Свердлова, Долматова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6"/>
                <w:szCs w:val="26"/>
                <w:lang w:val="ru-RU" w:eastAsia="ar-SA" w:bidi="ar-SA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</w:rPr>
              <w:t>.10.2025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2"/>
        <w:gridCol w:w="291"/>
        <w:gridCol w:w="3216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3550" cy="19812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Костромы 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изменений в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Шагова, Смоленской, Свердлова, Долматова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25 августа 2021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изменений в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документаци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Шагова, Смоленской, Свердлова, Долматова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24765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24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4pt;height:1.8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изменений в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документаци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ю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 по планировке территории, 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 xml:space="preserve">улицами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Шагова, Смоленской, Свердлова, Долматова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» (далее – Проект) обусловлено н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еобходимостью исполнения в соответствии с действующим законодательством полномочий органа местного самоуправления в образовании границ земельных участков, на которых расположены многоквартирные дома и иные объекты, входящие в состав общедомового имущества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2915" cy="212090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40" cy="211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35pt;height:16.6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строительства, с учетом фактического благоустройства территории;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 ресурсов для решения данной проблемы не потребовалось.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7675" cy="198120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12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1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3080" cy="198120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28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3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4195" cy="210820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600" cy="21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75pt;height:16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образование границ земельных участков под многоквартирными домами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МКУ г. Костромы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Центр градостроительства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4"/>
        <w:gridCol w:w="4306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hanging="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образование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земельных участков под многоквартирными домами и иными объектами, входящими в состав общедомового имущества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color="FFFFFF" w:fill="FFFFFF"/>
              <w:spacing w:before="0" w:after="0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помещений в многоквартирных домах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, правообладатели объектов капитального строительства.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земельных участк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5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3720" cy="198120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5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4pt;height:15.5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3550" cy="198120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2960" cy="19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4pt;height:15.5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3"/>
        <w:gridCol w:w="1008"/>
        <w:gridCol w:w="608"/>
        <w:gridCol w:w="2997"/>
        <w:gridCol w:w="40"/>
        <w:gridCol w:w="1271"/>
        <w:gridCol w:w="114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19.12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..2025</w:t>
            </w:r>
          </w:p>
        </w:tc>
      </w:tr>
      <w:tr>
        <w:trPr>
          <w:trHeight w:val="251" w:hRule="atLeast"/>
          <w:cantSplit w:val="true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3550" cy="198120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4pt;height:15.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3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25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8.1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3550" cy="198120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10.45pt;margin-top:1.45pt;width:36.4pt;height:15.5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проекта постановления Администрации города Костромы «Об утверждении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Шагова, Смоленской, Свердлова, Долматова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sz w:val="24"/>
                <w:szCs w:val="24"/>
                <w:lang w:eastAsia="en-US" w:bidi="en-US"/>
              </w:rPr>
              <w:t>19.12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земельных участков под многоквартирными домами и иными объектами, входящими в состав общедомового имущества.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3550" cy="198120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3550" cy="198120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по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27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 xml:space="preserve"> 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3550" cy="198120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60" cy="19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4pt;height:15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30290" cy="185420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97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6pt;height:14.5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LibreOffice/6.4.4.2$Windows_x86 LibreOffice_project/3d775be2011f3886db32dfd395a6a6d1ca2630ff</Application>
  <Pages>10</Pages>
  <Words>2005</Words>
  <Characters>15603</Characters>
  <CharactersWithSpaces>17408</CharactersWithSpaces>
  <Paragraphs>227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2025-10-21T16:42:08Z</dcterms:modified>
  <cp:revision>27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