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проведении оценки регулирующего воздействия проекта постановления Администрации города Костромы 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</w:rPr>
        <w:t>Об утверждении документации по планировке территории,  ограниченной продолжением улицы Индустриальной ко второму мосту через реку Волгу, улицей Юбилейной, улицами местного значения в микрорайоне Юбилейный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  <w:r>
        <w:rPr>
          <w:rFonts w:ascii="Times New Roman" w:hAnsi="Times New Roman"/>
          <w:b/>
          <w:sz w:val="26"/>
          <w:szCs w:val="26"/>
        </w:rPr>
        <w:t>, в виде проект</w:t>
      </w:r>
      <w:r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 xml:space="preserve"> планировки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07.11.2025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0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1"/>
        <w:gridCol w:w="290"/>
        <w:gridCol w:w="3218"/>
      </w:tblGrid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2280" cy="196850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</w:rPr>
              <w:t>Об утверждении документации по планировке территории,  ограниченной продолжением улицы Индустриальной ко второму мосту через реку Волгу, улицей Юбилейной, улицами местного значения в микрорайоне Юбилейный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6"/>
                <w:szCs w:val="24"/>
              </w:rPr>
              <w:t>»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6"/>
                <w:szCs w:val="26"/>
              </w:rPr>
              <w:t>, в виде проект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6"/>
                <w:szCs w:val="26"/>
              </w:rPr>
              <w:t>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6"/>
                <w:szCs w:val="26"/>
              </w:rPr>
              <w:t xml:space="preserve"> планировки территории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(Далее – Проект).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марта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года № 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«О подготовке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документации по планировке территории,  ограниченной продолжением улицы Индустриальной ко второму мосту через реку Волгу, улицей Юбилейной, улицами местного значения в микрорайоне Юбилейный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исключения возможности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развития территории в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противоречие утвержденной документации по планировке,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23495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2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3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3pt;height:1.7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sz w:val="24"/>
                      <w:szCs w:val="24"/>
                      <w:lang w:eastAsia="en-US"/>
                    </w:rPr>
                    <w:t>«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i w:val="false"/>
                      <w:iCs w:val="false"/>
                      <w:color w:val="000000"/>
                      <w:sz w:val="24"/>
                      <w:szCs w:val="24"/>
                      <w:lang w:eastAsia="en-US"/>
                    </w:rPr>
                    <w:t>Об утверждении документации по планировке территории,  ограниченной продолжением улицы Индустриальной ко второму мосту через реку Волгу, улицей Юбилейной, улицами местного значения в микрорайоне Юбилейный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sz w:val="24"/>
                      <w:szCs w:val="24"/>
                      <w:lang w:eastAsia="en-US"/>
                    </w:rPr>
                    <w:t>»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 (далее – Проект)  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 w:bidi="ar-SA"/>
                    </w:rPr>
                    <w:t xml:space="preserve">возникло в связи с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намерением заинтересованного лица в строительстве многоэтажной жилой застройки.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1645" cy="210820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21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25pt;height:16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отсутствие возможности развития территории в отсутствие утвержденной документации по планировке территории;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- отсутствие возможности реализации положений, предусмотренных Генеральным планом города Костромы. 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Принятие проекта постановления Администрации города Костромы </w:t>
            </w:r>
            <w:r>
              <w:rPr>
                <w:rFonts w:eastAsia="Calibri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Об утверждении документации по планировке территории,  ограниченной продолжением улицы Индустриальной ко второму мосту через реку Волгу, улицей Юбилейной, улицами местного значения в микрорайоне Юбилейный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>»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 (далее – Проект)  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 w:bidi="ar-SA"/>
              </w:rPr>
              <w:t xml:space="preserve">возникло в связи с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намерением заинтересованного лица в строительстве многоэтажной жилой застройки.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Мерой, направленной на решение проблемы, является разработка Проекта, позволяющего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становить характеристики планируемого развития территории в соответствии с Генеральным планом города Костромы.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 ресурсов для решения данной проблемы не потребовалось.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установление положений планируемого развития территории в соответствии с проектом планировки территории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6405" cy="196850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56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05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31" name="Врезка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5" stroked="f" style="position:absolute;margin-left:609.4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1810" cy="196850"/>
                      <wp:effectExtent l="0" t="0" r="0" b="0"/>
                      <wp:wrapSquare wrapText="bothSides"/>
                      <wp:docPr id="33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20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2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2925" cy="209550"/>
                      <wp:effectExtent l="0" t="0" r="0" b="0"/>
                      <wp:wrapSquare wrapText="bothSides"/>
                      <wp:docPr id="35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160" cy="20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65pt;height:16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1096" w:hRule="atLeast"/>
        </w:trPr>
        <w:tc>
          <w:tcPr>
            <w:tcW w:w="6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 w:cs="Times New Roman" w:ascii="Times New Roman" w:hAnsi="Times New Roman" w:eastAsiaTheme="minorHAnsi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установление границ зон планируемого размещения объектов многоэтажной жилой застройки, детского дошкольного образования</w:t>
            </w:r>
            <w:r>
              <w:rPr>
                <w:rFonts w:eastAsia="Calibri" w:cs="Times New Roman" w:ascii="Times New Roman" w:hAnsi="Times New Roman" w:eastAsiaTheme="minorHAnsi"/>
                <w:b w:val="false"/>
                <w:sz w:val="24"/>
                <w:szCs w:val="24"/>
                <w:lang w:eastAsia="en-US" w:bidi="ar-SA"/>
              </w:rPr>
              <w:t>;</w:t>
            </w:r>
          </w:p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sz w:val="24"/>
                <w:szCs w:val="24"/>
                <w:lang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 w:eastAsiaTheme="minorHAnsi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определение характеристик планируемого развития территории</w:t>
            </w: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7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общества с ограниченной ответственностью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Перспектива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9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5"/>
        <w:gridCol w:w="4305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1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      </w: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предусматривающего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определение характеристик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 планируемого развития территории в 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соответствии с генеральным планом города Костромы, установление границ элемента планировочной структуры, установление границ зон планируемого размещения объектов многоэтажной жилой застройки, детского дошкольного образования, установления красных линий.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3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5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i w:val="false"/>
                <w:iCs w:val="false"/>
                <w:sz w:val="24"/>
                <w:szCs w:val="24"/>
                <w:lang w:eastAsia="en-US"/>
              </w:rPr>
              <w:t>Принимая во внимание требования градостроительного законодательства о формировании границ зон планируемого размещения объектов капитального строительства и установление видов разрешенного использования земельных участков и объектов капитального строительства, только на основании утвержденной документации по планировке территории, определения характеристик планируемого развития территории, иных способов решения проблемы не существует.</w:t>
            </w:r>
          </w:p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7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9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1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18"/>
                <w:lang w:val="ru-RU" w:eastAsia="ar-SA" w:bidi="ar-SA"/>
              </w:rPr>
              <w:t>правообладатели земельных участков и объектов капитального строительства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  <w:lang w:eastAsia="ar-SA" w:bidi="ar-SA"/>
              </w:rPr>
              <w:t xml:space="preserve">.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Точное количество участников определить невозможно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3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5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7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9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Обеспечить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реализацию проекта планировки территории в соответствии с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установленными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характеристиками планируемого развития территории.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 разрешенного использования земельного участка, установленных Проектом и Правилами землепользования и застройки города Костромы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земельного участка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Строительство объектов капитального строительства в соответствии с документацией по планировке территории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1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3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5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Обеспечить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реализацию проекта планировки территории в соответствии с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установленными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 характеристиками планируемого развития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</w:rPr>
                    <w:t>При выдаче исходно-разрешительной документации учитывать параметры и вид разрешенного использования земельного участка, установленных Проектом и Правилами землепользования и застройки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7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69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1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3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5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77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79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1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3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5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7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9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1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ru-RU" w:eastAsia="ar-SA" w:bidi="ar-SA"/>
                    </w:rPr>
                    <w:t>правообладатели земельных участков и объектов капитального строительства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Проектом и Правилами землепользования и застройки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После Проекта выполнить процедуру по постановке образованных земельных участков на государственный кадастровый учет. 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3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5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7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firstLine="709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ru-RU" w:eastAsia="ar-SA" w:bidi="ar-SA"/>
                    </w:rPr>
                    <w:t>правообладатели земельных участков и объектов капитального строительства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Проектом и Правилами землепользования и застройки города Костромы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9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1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3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105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4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7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При утверждении Проекта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с учетом характеристик планируемого развития территории, предусмотренных документацией по планировке территории 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9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554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0"/>
        <w:gridCol w:w="225"/>
        <w:gridCol w:w="1005"/>
        <w:gridCol w:w="600"/>
        <w:gridCol w:w="3000"/>
        <w:gridCol w:w="45"/>
        <w:gridCol w:w="795"/>
        <w:gridCol w:w="1620"/>
        <w:gridCol w:w="224"/>
      </w:tblGrid>
      <w:tr>
        <w:trPr>
          <w:cantSplit w:val="true"/>
        </w:trPr>
        <w:tc>
          <w:tcPr>
            <w:tcW w:w="9330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24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Предполагаемая дата вступления в силу проекта акта: с 31.12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  <w:tr>
        <w:trPr>
          <w:trHeight w:val="251" w:hRule="atLeast"/>
          <w:cantSplit w:val="true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3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5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9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1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554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3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5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15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7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5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9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-3.75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2.5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проекта постановления Администрации города Костромы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Об утверждении документации по планировке территории,  ограниченной продолжением улицы Индустриальной ко второму мосту через реку Волгу, улицей Юбилейной, улицами местного значения в микрорайоне Юбилейный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»,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в виде проект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планировки территории 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 момента опубликования, ориентировочная дата опубликования 31.12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установление положений планируемого развития территории в соответствии с проектом планировки территории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7 по 13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9020" cy="184150"/>
              <wp:effectExtent l="0" t="0" r="0" b="0"/>
              <wp:wrapNone/>
              <wp:docPr id="139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828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5pt;height:14.4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paragraph" w:styleId="Style17">
    <w:name w:val="Заголовок"/>
    <w:basedOn w:val="Normal"/>
    <w:next w:val="Style18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9">
    <w:name w:val="List"/>
    <w:basedOn w:val="Style18"/>
    <w:pPr>
      <w:shd w:val="clear" w:fill="FFFFFF"/>
    </w:pPr>
    <w:rPr>
      <w:rFonts w:cs="Arial"/>
    </w:rPr>
  </w:style>
  <w:style w:type="paragraph" w:styleId="Style20">
    <w:name w:val="Caption"/>
    <w:basedOn w:val="Normal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2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3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3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9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0" w:customStyle="1">
    <w:name w:val="Заголовок таблицы"/>
    <w:basedOn w:val="Style29"/>
    <w:qFormat/>
    <w:pPr>
      <w:shd w:val="clear" w:fill="FFFFFF"/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2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LibreOffice/6.4.4.2$Windows_x86 LibreOffice_project/3d775be2011f3886db32dfd395a6a6d1ca2630ff</Application>
  <Pages>10</Pages>
  <Words>1956</Words>
  <Characters>15211</Characters>
  <CharactersWithSpaces>16994</CharactersWithSpaces>
  <Paragraphs>225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2025-11-07T09:37:22Z</dcterms:modified>
  <cp:revision>25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