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ffff"/>
          <w:sz w:val="26"/>
          <w:szCs w:val="26"/>
        </w:rPr>
        <w:t xml:space="preserve">оро</w:t>
      </w:r>
      <w:r>
        <w:rPr>
          <w:rFonts w:ascii="Times New Roman" w:hAnsi="Times New Roman"/>
          <w:b/>
          <w:sz w:val="26"/>
          <w:szCs w:val="26"/>
        </w:rPr>
        <w:t xml:space="preserve">Сводный отчет </w:t>
      </w:r>
      <w:r/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 xml:space="preserve">о проведении оценки регулирующего воздействия проекта постановления Администрации города Костромы «Об утверждении документации по планировке территории,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ограниченной </w:t>
      </w:r>
      <w:r>
        <w:rPr>
          <w:rFonts w:ascii="Times New Roman" w:hAnsi="Times New Roman"/>
          <w:b/>
          <w:bCs/>
          <w:sz w:val="26"/>
          <w:szCs w:val="26"/>
        </w:rPr>
        <w:t xml:space="preserve">улицами Сутырина, Индустриальной, улицей местного значения, проездом Давыдовским 6-м</w:t>
      </w:r>
      <w:r/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  <w:t xml:space="preserve">, в виде проекта межевания территории </w:t>
      </w:r>
      <w:r/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tbl>
      <w:tblPr>
        <w:tblW w:w="2943" w:type="dxa"/>
        <w:tblInd w:w="-108" w:type="dxa"/>
        <w:tblLook w:val="04A0" w:firstRow="1" w:lastRow="0" w:firstColumn="1" w:lastColumn="0" w:noHBand="0" w:noVBand="1"/>
      </w:tblPr>
      <w:tblGrid>
        <w:gridCol w:w="2943"/>
      </w:tblGrid>
      <w:tr>
        <w:trPr/>
        <w:tc>
          <w:tcPr>
            <w:shd w:val="clear" w:color="auto" w:fill="auto"/>
            <w:tcBorders>
              <w:bottom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24.10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.2022  б/н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(дата и номер отчета)</w:t>
            </w:r>
            <w:r/>
          </w:p>
        </w:tc>
      </w:tr>
    </w:tbl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9649" w:type="dxa"/>
        <w:tblLook w:val="04A0" w:firstRow="1" w:lastRow="0" w:firstColumn="1" w:lastColumn="0" w:noHBand="0" w:noVBand="1"/>
      </w:tblPr>
      <w:tblGrid>
        <w:gridCol w:w="6273"/>
        <w:gridCol w:w="289"/>
        <w:gridCol w:w="3220"/>
      </w:tblGrid>
      <w:tr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Общая информация</w:t>
            </w:r>
            <w:r/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6659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36830</wp:posOffset>
                      </wp:positionV>
                      <wp:extent cx="461010" cy="195580"/>
                      <wp:effectExtent l="0" t="0" r="0" b="0"/>
                      <wp:wrapSquare wrapText="bothSides"/>
                      <wp:docPr id="2" name="Врезка1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beve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675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75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75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6"/>
                                          </w:numPr>
                                          <w:ind w:left="0" w:firstLine="0"/>
                                          <w:rPr>
                                            <w:rStyle w:val="102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1" type="#_x0000_t1" style="position:absolute;z-index:251566592;o:allowoverlap:true;o:allowincell:true;mso-position-horizontal-relative:text;mso-position-horizontal:left;mso-position-vertical-relative:text;margin-top:2.9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67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75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67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6"/>
                                    </w:numPr>
                                    <w:ind w:left="0" w:firstLine="0"/>
                                    <w:rPr>
                                      <w:rStyle w:val="102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Вид и наименование проекта акта: 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города Костромы «Об утверждении документации по планировке территории,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ограниченной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улицами Сутырина, Индустриальной, улицей местного значения, проездом Давыдовским 6-м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 виде проекта межевания территории (Далее – Проект).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6864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3" name="Врезка2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2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1.2.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1" type="#_x0000_t1" style="position:absolute;z-index:251568640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2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1.2.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Разработчик: Администрация города Костромы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068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4" name="Врезка3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2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1.3.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1" type="#_x0000_t1" style="position:absolute;z-index:251570688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2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1.3.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Сведения об отраслевых (функциональных) органах (структурных подразделениях) разработчика – исполнителях проекта акта: Управление архитектуры и градостроительства  Администрации города Костромы.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273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5" name="Врезка4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Style w:val="102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1.4.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o:spt="1" type="#_x0000_t1" style="position:absolute;z-index:251572736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Style w:val="102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1.4.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Основание для разработки проекта акта: 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Основанием для разработки Проекта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 является постановление Администрации города Костромы от 26 декабря 2018 года № 2782 «О подготовке документации по планировке территории, ограниченной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улицами Сутырина, Индустриальной, улицей местного значения, проездом Давыдовским 6-м</w:t>
            </w:r>
            <w:r/>
            <w:r>
              <w:rPr>
                <w:rFonts w:ascii="Times New Roman" w:hAnsi="Times New Roman"/>
                <w:sz w:val="24"/>
                <w:szCs w:val="24"/>
                <w:highlight w:val="none"/>
                <w:lang w:eastAsia="ru-RU"/>
              </w:rPr>
              <w:t xml:space="preserve">».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478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" name="Врезка5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2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 xml:space="preserve">1.5.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" o:spid="_x0000_s5" o:spt="1" type="#_x0000_t1" style="position:absolute;z-index:251574784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2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1.5.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Контактная информация исполнителя разработчика: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Ф.И.О.: Носкова Владислава Алексеевна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Должность: главный специалист отдела перспективного развития территорий Администрации города Костромы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телефона: (4942) 42 66 81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oskova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gradkostroma.ru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Степень регулирующего воздействия проекта акта</w:t>
            </w:r>
            <w:r/>
          </w:p>
        </w:tc>
      </w:tr>
      <w:tr>
        <w:trPr>
          <w:trHeight w:val="2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02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683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7" name="Врезка6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4"/>
                                          </w:numPr>
                                          <w:ind w:left="0" w:firstLine="0"/>
                                          <w:rPr>
                                            <w:rStyle w:val="102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" o:spid="_x0000_s6" o:spt="1" type="#_x0000_t1" style="position:absolute;z-index:251576832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4"/>
                                    </w:numPr>
                                    <w:ind w:left="0" w:firstLine="0"/>
                                    <w:rPr>
                                      <w:rStyle w:val="102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Степень регулирующего воздействия проекта акта: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80"/>
              <w:ind w:right="60"/>
              <w:jc w:val="both"/>
              <w:spacing w:after="0"/>
              <w:tabs>
                <w:tab w:val="left" w:pos="491" w:leader="none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888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8" name="Врезка7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firstLine="29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2.2.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7" o:spid="_x0000_s7" o:spt="1" type="#_x0000_t1" style="position:absolute;z-index:251578880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firstLine="29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2.2.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Обоснование отнесения проекта акта к определенной степени регулирующего воздействия: </w:t>
            </w:r>
            <w:r/>
          </w:p>
          <w:p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акта содержит положения, изменяющие ранее предусмотренные муниципальными правовыми актами обязанности, запреты и ограничения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физических и юридических лиц в сфере предпринимательской и инвестиционной деятельности, либо способствующие ее установлению в части исключения возможности образования земельных участков в иных границах правообладателями земельных участков, под объектами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недвижимости, противоречащих документации по планировке обозначенной территории.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  <w:r/>
          </w:p>
          <w:p>
            <w:pP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rPr>
                <w:rFonts w:ascii="Times New Roman" w:hAnsi="Times New Roman"/>
                <w:vanish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vanish/>
                <w:sz w:val="24"/>
                <w:szCs w:val="24"/>
                <w:highlight w:val="yellow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8092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22225"/>
                      <wp:effectExtent l="0" t="0" r="0" b="0"/>
                      <wp:wrapSquare wrapText="bothSides"/>
                      <wp:docPr id="9" name="Врезка8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2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963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638"/>
                                  </w:tblGrid>
                                  <w:tr>
                                    <w:trPr>
                                      <w:trHeight w:val="279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963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1062"/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  <w:t xml:space="preserve">3.1.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8" o:spid="_x0000_s8" o:spt="1" type="#_x0000_t1" style="position:absolute;z-index:251580928;o:allowoverlap:true;o:allowincell:true;mso-position-horizontal-relative:text;mso-position-horizontal:left;mso-position-vertical-relative:text;margin-top:0.0pt;mso-position-vertical:absolute;width:36.3pt;height:1.8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96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38"/>
                            </w:tblGrid>
                            <w:tr>
                              <w:trPr>
                                <w:trHeight w:val="279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96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62"/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 xml:space="preserve">3.1.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  <w:tbl>
            <w:tblPr>
              <w:tblW w:w="9124" w:type="dxa"/>
              <w:tblInd w:w="4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24"/>
            </w:tblGrid>
            <w:tr>
              <w:trPr/>
              <w:tc>
                <w:tcPr>
                  <w:shd w:val="clear" w:color="auto" w:fill="auto"/>
                  <w:tcW w:w="9124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3657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10" name="Врезка43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3.1.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9" o:spid="_x0000_s9" o:spt="1" type="#_x0000_t1" style="position:absolute;z-index:251736576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Описание проблемы, на решение которой направлен предлагаемый способ регулирования, условий и факторов ее существования:</w:t>
                  </w:r>
                  <w:r/>
                </w:p>
                <w:p>
                  <w:pPr>
                    <w:pStyle w:val="1062"/>
                    <w:ind w:firstLine="571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Принятие Проекта обусловлено необходимостью образования земельных участков в целях соблюдения прав и законных интересов правообладателей земельных участков и объектов капитального строительства.</w:t>
                  </w:r>
                  <w:r/>
                </w:p>
                <w:p>
                  <w:pPr>
                    <w:pStyle w:val="1062"/>
                    <w:ind w:firstLine="571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Согласно подпункту 4 пункта 3 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статьи 11.3 Земельного кодекса Российской Федерации образование земельных участков в границах элемента планировочной структуры, застроенного многоквартирными домами, осуществляется исключительно в соответствии с утвержденным проектом межевания территории. </w:t>
                  </w:r>
                  <w:r/>
                </w:p>
                <w:p>
                  <w:pPr>
                    <w:pStyle w:val="1062"/>
                    <w:ind w:firstLine="571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Вышеуказанная территория в настоящее время застроена многоквартирными домами.</w:t>
                  </w:r>
                  <w:r/>
                </w:p>
              </w:tc>
            </w:tr>
          </w:tbl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</w:tr>
      <w:tr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8297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1" name="Врезка9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0" o:spid="_x0000_s10" o:spt="1" type="#_x0000_t1" style="position:absolute;z-index:251582976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2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Негативные эффекты, возникающие в связи с наличием проблемы: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отсутствие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границ земельных участков, а также территорий общего пользования и территорий, предназначенных для застройки, путем установления красных линий, что может привести к сужению улично-дорожной сети при формировании земельных участков под застройку.</w:t>
            </w:r>
            <w:r/>
          </w:p>
        </w:tc>
      </w:tr>
      <w:tr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ind w:firstLine="0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8502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2" name="Врезка10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tabs>
                                            <w:tab w:val="left" w:pos="284" w:leader="none"/>
                                            <w:tab w:val="left" w:pos="567" w:leader="none"/>
                                            <w:tab w:val="left" w:pos="851" w:leader="none"/>
                                            <w:tab w:val="left" w:pos="1134" w:leader="none"/>
                                          </w:tabs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1" o:spid="_x0000_s11" o:spt="1" type="#_x0000_t1" style="position:absolute;z-index:251585024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>
                                <w:trHeight w:val="274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tabs>
                                      <w:tab w:val="left" w:pos="284" w:leader="none"/>
                                      <w:tab w:val="left" w:pos="567" w:leader="none"/>
                                      <w:tab w:val="left" w:pos="851" w:leader="none"/>
                                      <w:tab w:val="left" w:pos="1134" w:leader="none"/>
                                    </w:tabs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3.3.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      </w:r>
            <w:r/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 возникла в связи с намерением правообладателей помещений в многоквартирных жилых домах в формировании земельных участков под многоквартирными жилыми домами в границах элемента планировочной структуры, застроенного многоквартирными домами.</w:t>
            </w:r>
            <w:r/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 выявилась в ходе проведения мониторинга регионального и федерального законодательства.</w:t>
            </w:r>
            <w:r/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Мерой, направленной на решение проблемы, является разработка Проекта, позволяющего сформировать земельные участки под многоквартирными домами.</w:t>
            </w:r>
            <w:r/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проблемы осуществлялось с использованием ресурсов Разработчика.</w:t>
            </w:r>
            <w:r/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Дополнительных ресурсов для решения данной проблемы не потребовалось.</w:t>
            </w:r>
            <w:r/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Достигнутым результатом решения данной проблемы является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дготовленный Проект, предусматривающий формирование земельных участков под многоквартирными жилыми домами и иными объектами капитального строительства в границах элемента планировочной структуры, застроенного многоквартирными домами, с установлением параме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тров застройки и видов разрешенного использования земельных участков, а также установление красных линий, отделяющих земли застройки от земель общего пользования, и уточнение границ земельных участков под существующими объектами капитального строительства.</w:t>
            </w:r>
            <w:r/>
          </w:p>
        </w:tc>
      </w:tr>
      <w:tr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8707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3" name="Врезка11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2" o:spid="_x0000_s12" o:spt="1" type="#_x0000_t1" style="position:absolute;z-index:251587072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2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3.4.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условий, при которых проблема может быть решена в целом без вмешательства со стороны государства:</w:t>
            </w:r>
            <w:r/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усматривается</w:t>
            </w:r>
            <w:r/>
          </w:p>
        </w:tc>
      </w:tr>
      <w:tr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8912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4" name="Врезка12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3" o:spid="_x0000_s13" o:spt="1" type="#_x0000_t1" style="position:absolute;z-index:251589120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2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3.5.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данных: ИС «Консультант плюс»</w:t>
            </w:r>
            <w:r/>
          </w:p>
        </w:tc>
      </w:tr>
      <w:tr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9116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5" name="Врезка13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3.6.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4" o:spid="_x0000_s14" o:spt="1" type="#_x0000_t1" style="position:absolute;z-index:251591168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2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3.6.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проблеме: отсутствует</w:t>
            </w:r>
            <w:r/>
          </w:p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 w:eastAsia="ru-RU"/>
              </w:rPr>
            </w:r>
            <w:r/>
          </w:p>
        </w:tc>
      </w:tr>
      <w:tr>
        <w:trPr>
          <w:trHeight w:val="445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Анализ опыта Российской Федерации, субъектов Российской Федерации, иных муниципальных образований в соответствующих сферах деятельности</w:t>
            </w:r>
            <w:r/>
          </w:p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9526"/>
            </w:tblGrid>
            <w:tr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593216" behindDoc="0" locked="0" layoutInCell="1" allowOverlap="1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45135" cy="195580"/>
                            <wp:effectExtent l="0" t="0" r="0" b="0"/>
                            <wp:wrapSquare wrapText="bothSides"/>
                            <wp:docPr id="16" name="Врезка14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4460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4.1</w:t>
                                              </w:r>
                                              <w:r>
                                                <w:rPr>
                                                  <w:rStyle w:val="1026"/>
                                                  <w:sz w:val="24"/>
                                                  <w:szCs w:val="24"/>
                                                </w:rPr>
                                                <w:t xml:space="preserve">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5" o:spid="_x0000_s15" o:spt="1" type="#_x0000_t1" style="position:absolute;z-index:251593216;o:allowoverlap:true;o:allowincell:true;mso-position-horizontal-relative:text;margin-left:-0.1pt;mso-position-horizontal:absolute;mso-position-vertical-relative:text;margin-top:1.4pt;mso-position-vertical:absolute;width:35.0pt;height:15.4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r>
                                          <w:rPr>
                                            <w:rStyle w:val="102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4.1</w:t>
                                        </w:r>
                                        <w:r>
                                          <w:rPr>
                                            <w:rStyle w:val="1026"/>
                                            <w:sz w:val="24"/>
                                            <w:szCs w:val="24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Опыт Российской Федерации, субъектов Российской Федерации, иных муниципальных образований в соответствующих сферах деятельности:</w:t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ходе проведенного анализа опыта в субъектах Российской Федерации, иных муниципальных образований в соответствующих сферах де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ятельности, в том числе городского округа город Ярославль Ярославской области, выявлено, что в соответствии с Градостроительным кодексом Российской Федерации утверждена документация по планировке территории, в границах которой образуются земельные участки.</w:t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59526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17" name="Врезка15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4.2.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6" o:spid="_x0000_s16" o:spt="1" type="#_x0000_t1" style="position:absolute;z-index:251595264;o:allowoverlap:true;o:allowincell:true;mso-position-horizontal-relative:text;margin-left:-7.3pt;mso-position-horizontal:absolute;mso-position-vertical-relative:text;margin-top:1.4pt;mso-position-vertical:absolute;width:36.3pt;height:15.4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4.2.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официальный портал города Ярославля (city-yaroslavl.ru):</w:t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 Постановление мэрии города Ярославля от 20 мая 2019 года № 575 «Об утверждении проекта планировки и проекта межевания территории,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ограниченной Которосльной набережной, створом ул. Чайковского, берегом р. Которосли, просп. Толбухина в Кировском районе города Ярославля»;</w:t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Постановление мэрии города Ярославля от 12 августа 2019 года № 892 «Об утверждении проекта межевания территории по ул. Красноборской (в районе дома № 34) в Заволжском районе города Ярославля»;</w:t>
                  </w:r>
                  <w:r/>
                </w:p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- Постановление мэрии города Ярославля от 19 июля 2019 года № 695 «Об утверждении проекта межевания территории по Ленинградскому просп. (в районе д. № 37) в Дзержинском районе города Ярославля».</w:t>
                  </w:r>
                  <w:r/>
                </w:p>
              </w:tc>
            </w:tr>
          </w:tbl>
          <w:p>
            <w:pPr>
              <w:jc w:val="center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Цели предлагаемого регулирования и их соответствие принципам правового регулирования, документам стратегического планирования города Костромы, иным программным документам </w:t>
            </w:r>
            <w:r/>
          </w:p>
        </w:tc>
      </w:tr>
      <w:tr>
        <w:trPr>
          <w:cantSplit/>
          <w:trHeight w:val="298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83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97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510540" cy="195580"/>
                      <wp:effectExtent l="0" t="0" r="0" b="0"/>
                      <wp:wrapSquare wrapText="bothSides"/>
                      <wp:docPr id="18" name="Врезка16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09760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9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92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92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firstLine="0"/>
                                          <w:rPr>
                                            <w:rStyle w:val="102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7" o:spid="_x0000_s17" o:spt="1" type="#_x0000_t1" style="position:absolute;z-index:251597312;o:allowoverlap:true;o:allowincell:true;mso-position-horizontal-relative:text;margin-left:0.0pt;mso-position-horizontal:absolute;mso-position-vertical-relative:text;margin-top:3.0pt;mso-position-vertical:absolute;width:40.2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92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9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0" w:firstLine="0"/>
                                    <w:rPr>
                                      <w:rStyle w:val="102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Цели предлагаемого регулирования:</w:t>
            </w:r>
            <w:r/>
          </w:p>
          <w:p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pStyle w:val="1062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99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</wp:posOffset>
                      </wp:positionV>
                      <wp:extent cx="542925" cy="255905"/>
                      <wp:effectExtent l="0" t="0" r="0" b="0"/>
                      <wp:wrapSquare wrapText="bothSides"/>
                      <wp:docPr id="19" name="Врезка17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42160" cy="255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843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43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43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firstLine="0"/>
                                          <w:rPr>
                                            <w:rStyle w:val="102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8" o:spid="_x0000_s18" o:spt="1" type="#_x0000_t1" style="position:absolute;z-index:251599360;o:allowoverlap:true;o:allowincell:true;mso-position-horizontal-relative:text;margin-left:0.0pt;mso-position-horizontal:absolute;mso-position-vertical-relative:text;margin-top:4.5pt;mso-position-vertical:absolute;width:42.8pt;height:20.1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8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3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84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0" w:firstLine="0"/>
                                    <w:rPr>
                                      <w:rStyle w:val="102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Установленные сроки достижения   целей предлагаемого регулирования:</w:t>
            </w:r>
            <w:r/>
          </w:p>
        </w:tc>
      </w:tr>
      <w:tr>
        <w:trPr>
          <w:trHeight w:val="298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83" w:type="dxa"/>
            <w:textDirection w:val="lrTb"/>
            <w:noWrap w:val="false"/>
          </w:tcPr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Целью принятия Проекта является возможность формирования земельных участков под существующими и планируемыми объектами капитального строительства, в том числе формирование земельных участков под территориями общего пользования.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/>
          </w:p>
        </w:tc>
      </w:tr>
      <w:tr>
        <w:trPr>
          <w:cantSplit/>
          <w:trHeight w:val="298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14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0" name="Врезка18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5.3.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9" o:spid="_x0000_s19" o:spt="1" type="#_x0000_t1" style="position:absolute;z-index:251601408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5.3.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соответствия целей предлагаемого регулирования принципам правового регулирования, документам стратегического планирования города Костромы, иным программным документам: 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Представленный Проект разработан в соответствии с Генеральным </w:t>
            </w:r>
            <w:hyperlink r:id="rId11" w:tooltip="consultantplus://offline/ref=3B12DBF9DA4F655A3950F706F739D7FE7793F5E3BB745CF96FD88E96074277859D524A668E09FE57A7B968P7iBJ" w:history="1">
              <w:r>
                <w:rPr>
                  <w:rStyle w:val="1024"/>
                  <w:rFonts w:ascii="Times New Roman" w:hAnsi="Times New Roman"/>
                  <w:sz w:val="24"/>
                  <w:szCs w:val="24"/>
                </w:rPr>
                <w:t xml:space="preserve">планом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города Костромы, утвержденным решением Думы города Костромы от 18 декабря 2008 года № 212, </w:t>
            </w:r>
            <w:hyperlink r:id="rId12" w:tooltip="consultantplus://offline/ref=3B12DBF9DA4F655A3950F706F739D7FE7793F5E3B57654F765D88E96074277859D524A668E09FE57A6BF68P7i8J" w:history="1">
              <w:r>
                <w:rPr>
                  <w:rStyle w:val="1024"/>
                  <w:rFonts w:ascii="Times New Roman" w:hAnsi="Times New Roman"/>
                  <w:sz w:val="24"/>
                  <w:szCs w:val="24"/>
                </w:rPr>
                <w:t xml:space="preserve">Правилами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землепользования и застройки города Костромы, утвержденными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постановлением Администрации города Костромы от 28 июня 2021 года № 1130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Местными нормативами градостроительного проектирования города Костромы, утвержденными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постановлением Администрации города Костромы от 28 июня 2021 года № 1129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 счет бюджетных ассигнований, предусмотренных в бюджете города Костромы.</w:t>
            </w:r>
            <w:r/>
          </w:p>
        </w:tc>
      </w:tr>
      <w:tr>
        <w:trPr>
          <w:cantSplit/>
          <w:trHeight w:val="570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345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1" name="Врезка19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5.4.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0" o:spid="_x0000_s20" o:spt="1" type="#_x0000_t1" style="position:absolute;z-index:251603456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2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5.4.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целях предлагаемого регулирования: - </w:t>
            </w:r>
            <w:r/>
          </w:p>
        </w:tc>
      </w:tr>
    </w:tbl>
    <w:p>
      <w:pPr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/>
    </w:p>
    <w:tbl>
      <w:tblPr>
        <w:tblW w:w="9859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5610"/>
        <w:gridCol w:w="4228"/>
      </w:tblGrid>
      <w:tr>
        <w:trPr>
          <w:cantSplit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pStyle w:val="10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 xml:space="preserve">Описание предлагаемого регулирования и иных возможных способов решения проблемы</w:t>
            </w:r>
            <w:r>
              <w:rPr>
                <w:sz w:val="26"/>
              </w:rPr>
            </w:r>
            <w:r/>
          </w:p>
          <w:p>
            <w:pPr>
              <w:rPr>
                <w:rFonts w:ascii="Times New Roman" w:hAnsi="Times New Roman"/>
                <w:sz w:val="26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4"/>
                <w:highlight w:val="yellow"/>
              </w:rPr>
            </w:r>
            <w:r>
              <w:rPr>
                <w:sz w:val="26"/>
              </w:rPr>
            </w:r>
            <w:r/>
          </w:p>
        </w:tc>
      </w:tr>
      <w:tr>
        <w:trPr>
          <w:cantSplit/>
          <w:trHeight w:val="766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pStyle w:val="1062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652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2" name="Врезка20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1" o:spid="_x0000_s21" o:spt="1" type="#_x0000_t1" style="position:absolute;z-index:251606528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6.1.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предлагаемого способа решения проблемы и преодоления связанных с ней негативных эффектов: Для решения проблемы предлагается принятие Проекта.</w:t>
            </w:r>
            <w:r/>
          </w:p>
          <w:p>
            <w:pPr>
              <w:pStyle w:val="1062"/>
              <w:ind w:firstLine="85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Предлагаемым к принятию Проектом предусматривается:</w:t>
            </w:r>
            <w:r/>
          </w:p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определение местоположения границ образуемых земельных участков; </w:t>
            </w:r>
            <w:r/>
          </w:p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установление красных линий для застроенной территории, в границах которой не планируется размещение новых объектов капитального строительства. </w:t>
            </w:r>
            <w:r/>
          </w:p>
          <w:p>
            <w:pPr>
              <w:pStyle w:val="1062"/>
              <w:ind w:firstLine="85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540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960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3" name="Врезка21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2" o:spid="_x0000_s22" o:spt="1" type="#_x0000_t1" style="position:absolute;z-index:251609600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иных способов решения проблемы (с указанием того, каким образом каждым из способов могла бы быть решена проблема): иных способов решения проблемы не имеется.</w:t>
            </w:r>
            <w:r/>
          </w:p>
        </w:tc>
      </w:tr>
      <w:tr>
        <w:trPr>
          <w:cantSplit/>
          <w:trHeight w:val="540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267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4" name="Врезка22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3" o:spid="_x0000_s23" o:spt="1" type="#_x0000_t1" style="position:absolute;z-index:251612672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6.3.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Обоснование выбора предлагаемого способа решения проблемы: так как формирование земельных участков в границах элемента плани</w:t>
            </w:r>
            <w:r>
              <w:rPr>
                <w:sz w:val="24"/>
                <w:szCs w:val="24"/>
                <w:lang w:eastAsia="ru-RU"/>
              </w:rPr>
              <w:t xml:space="preserve">ровочной структуры, застроенного многоквартирными домами, возможно только на основании утвержденной документации по планировке территории, единственно возможным способом решения проблемы является принятие Проекта. Иных способов решения проблемы не имеется.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574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5" name="Врезка23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4" o:spid="_x0000_s24" o:spt="1" type="#_x0000_t1" style="position:absolute;z-index:251615744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6.4.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предлагаемом способе решения проблемы: </w:t>
            </w:r>
            <w:r/>
          </w:p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отсутствует</w:t>
            </w:r>
            <w:r/>
          </w:p>
        </w:tc>
      </w:tr>
      <w:tr>
        <w:trPr/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keepNext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Основные гру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ппы субъектов инвестиционной,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</w:r>
            <w:r/>
          </w:p>
          <w:p>
            <w:pPr>
              <w:keepNext/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/>
          </w:p>
        </w:tc>
      </w:tr>
      <w:tr>
        <w:trPr>
          <w:trHeight w:val="111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7f7f7f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7f7f7f"/>
                <w:sz w:val="24"/>
                <w:szCs w:val="24"/>
                <w:highlight w:val="yellow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591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881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6" name="Врезка24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1"/>
                                            <w:numId w:val="5"/>
                                          </w:numPr>
                                          <w:ind w:left="0" w:firstLine="0"/>
                                          <w:jc w:val="right"/>
                                          <w:spacing w:before="0" w:after="0"/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5" o:spid="_x0000_s25" o:spt="1" type="#_x0000_t1" style="position:absolute;z-index:251618816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9"/>
                                    <w:numPr>
                                      <w:ilvl w:val="1"/>
                                      <w:numId w:val="5"/>
                                    </w:numPr>
                                    <w:ind w:left="0" w:firstLine="0"/>
                                    <w:jc w:val="right"/>
                                    <w:spacing w:before="0" w:after="0"/>
                                    <w:rPr>
                                      <w:rStyle w:val="102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Группа участников отношений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42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188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7" name="Врезка25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1"/>
                                            <w:numId w:val="5"/>
                                          </w:numPr>
                                          <w:ind w:left="0" w:firstLine="0"/>
                                          <w:jc w:val="right"/>
                                          <w:spacing w:before="0" w:after="0"/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6" o:spid="_x0000_s26" o:spt="1" type="#_x0000_t1" style="position:absolute;z-index:251621888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9"/>
                                    <w:numPr>
                                      <w:ilvl w:val="1"/>
                                      <w:numId w:val="5"/>
                                    </w:numPr>
                                    <w:ind w:left="0" w:firstLine="0"/>
                                    <w:jc w:val="right"/>
                                    <w:spacing w:before="0" w:after="0"/>
                                    <w:rPr>
                                      <w:rStyle w:val="102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Оценка количества участников отношений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591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Индивидуальные предприниматели, юридические лица,  осуществляющие строительную деятельность на территории города Костромы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Точное количе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ство участников установить невозможно. Однако, в  связи с образованием четырех земельных участков можно предположить, что интересы будут затронуты четырех физических, юридических лиц,  осуществляющих строительную деятельность на территории города Костромы.</w:t>
            </w:r>
            <w:r/>
          </w:p>
        </w:tc>
      </w:tr>
      <w:tr>
        <w:trPr>
          <w:cantSplit/>
          <w:trHeight w:val="360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496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8" name="Врезка26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1"/>
                                            <w:numId w:val="5"/>
                                          </w:numPr>
                                          <w:ind w:left="0" w:firstLine="0"/>
                                          <w:jc w:val="right"/>
                                          <w:spacing w:before="0" w:after="0"/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7" o:spid="_x0000_s27" o:spt="1" type="#_x0000_t1" style="position:absolute;z-index:251624960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29"/>
                                    <w:numPr>
                                      <w:ilvl w:val="1"/>
                                      <w:numId w:val="5"/>
                                    </w:numPr>
                                    <w:ind w:left="0" w:firstLine="0"/>
                                    <w:jc w:val="right"/>
                                    <w:spacing w:before="0" w:after="0"/>
                                    <w:rPr>
                                      <w:rStyle w:val="102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Источники данных: Данные, имеющиеся в Управления архитектуры и градостроительства Администрации города Костромы</w:t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/>
          </w:p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функции, полномочия, обязанности и права органов местного самоуправления города Костромы или сведения об их изменении, а также порядок их реализации</w:t>
            </w:r>
            <w:r/>
          </w:p>
        </w:tc>
      </w:tr>
      <w:tr>
        <w:trPr/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Style w:val="1026"/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rPr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29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3145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63555"/>
                            <wp:effectExtent l="6350" t="6350" r="6350" b="6350"/>
                            <wp:wrapSquare wrapText="bothSides"/>
                            <wp:docPr id="29" name="Врезка27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63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8.1.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8" o:spid="_x0000_s28" o:spt="1" type="#_x0000_t1" style="position:absolute;z-index:251731456;o:allowoverlap:true;o:allowincell:true;mso-position-horizontal-relative:text;mso-position-horizontal:left;mso-position-vertical-relative:text;margin-top:1.4pt;mso-position-vertical:absolute;width:36.3pt;height:20.8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8.1.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26"/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функций, полномочий, обязанностей или прав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2803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63555"/>
                            <wp:effectExtent l="6350" t="6350" r="6350" b="6350"/>
                            <wp:wrapSquare wrapText="bothSides"/>
                            <wp:docPr id="30" name="Врезка28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63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8.2.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9" o:spid="_x0000_s29" o:spt="1" type="#_x0000_t1" style="position:absolute;z-index:251628032;o:allowoverlap:true;o:allowincell:true;mso-position-horizontal-relative:text;mso-position-horizontal:left;mso-position-vertical-relative:text;margin-top:1.4pt;mso-position-vertical:absolute;width:36.3pt;height:20.8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8.2.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Порядок реализации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3110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63555"/>
                            <wp:effectExtent l="6350" t="6350" r="6350" b="6350"/>
                            <wp:wrapSquare wrapText="bothSides"/>
                            <wp:docPr id="31" name="Врезка29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63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8.3.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0" o:spid="_x0000_s30" o:spt="1" type="#_x0000_t1" style="position:absolute;z-index:251631104;o:allowoverlap:true;o:allowincell:true;mso-position-horizontal-relative:text;mso-position-horizontal:left;mso-position-vertical-relative:text;margin-top:1.4pt;mso-position-vertical:absolute;width:36.3pt;height:20.8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8.3.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Оценка изменения трудозатрат и потребностей в иных ресурсах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Обеспечить образование земельных участков под многоквартирными жилыми домами в соответствии с проектом межевания территории.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При образовании земельных участков в границах квартала учитывать красную линию.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При выдаче исходно-разрешительной документации учитывать параметры и виды разрешенного использования земельных участков, установленных  документацией по планировке территории.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Постановка земельных участков на государственный кадастровый учет в соответствии с утвержденной документацией по планировке территории.</w:t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non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рамках имеющейся штатной численности Управления архитектуры и градостроительства Администрации города Костромы.</w:t>
                  </w:r>
                  <w:r/>
                </w:p>
              </w:tc>
            </w:tr>
          </w:tbl>
          <w:p>
            <w:pPr>
              <w:numPr>
                <w:ilvl w:val="0"/>
                <w:numId w:val="3"/>
              </w:numPr>
              <w:ind w:left="0" w:firstLine="0"/>
              <w:jc w:val="center"/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Оценка соответствующих расходов (возможных поступлений) бюджета города Костромы</w:t>
            </w:r>
            <w:r/>
          </w:p>
          <w:p>
            <w:pPr>
              <w:jc w:val="both"/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r>
            <w:r/>
          </w:p>
        </w:tc>
      </w:tr>
      <w:tr>
        <w:trPr>
          <w:cantSplit/>
          <w:trHeight w:val="566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tbl>
            <w:tblPr>
              <w:tblW w:w="9270" w:type="dxa"/>
              <w:tblLook w:val="04A0" w:firstRow="1" w:lastRow="0" w:firstColumn="1" w:lastColumn="0" w:noHBand="0" w:noVBand="1"/>
            </w:tblPr>
            <w:tblGrid>
              <w:gridCol w:w="3708"/>
              <w:gridCol w:w="3262"/>
              <w:gridCol w:w="2300"/>
            </w:tblGrid>
            <w:tr>
              <w:trPr>
                <w:trHeight w:val="1432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34176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44288"/>
                            <wp:effectExtent l="6350" t="6350" r="6350" b="6350"/>
                            <wp:wrapSquare wrapText="bothSides"/>
                            <wp:docPr id="32" name="Врезка30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442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9.1.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1" o:spid="_x0000_s31" o:spt="1" type="#_x0000_t1" style="position:absolute;z-index:251634176;o:allowoverlap:true;o:allowincell:true;mso-position-horizontal-relative:text;margin-left:-4.9pt;mso-position-horizontal:absolute;mso-position-vertical-relative:text;margin-top:1.4pt;mso-position-vertical:absolute;width:36.3pt;height:19.2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9.1.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новой  или изменяемой функции, полномочия, обязанности или права: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37248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44288"/>
                            <wp:effectExtent l="6350" t="6350" r="6350" b="6350"/>
                            <wp:wrapSquare wrapText="bothSides"/>
                            <wp:docPr id="33" name="Врезка31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442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>
                                            <w:trHeight w:val="56"/>
                                          </w:trPr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9.2.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2" o:spid="_x0000_s32" o:spt="1" type="#_x0000_t1" style="position:absolute;z-index:251637248;o:allowoverlap:true;o:allowincell:true;mso-position-horizontal-relative:text;margin-left:-4.9pt;mso-position-horizontal:absolute;mso-position-vertical-relative:text;margin-top:1.4pt;mso-position-vertical:absolute;width:36.3pt;height:19.2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>
                                      <w:trHeight w:val="56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9.2.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Описание видов расходов (возможных поступлений) бюджетов бюджетной системы Российской Федерации: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40320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44288"/>
                            <wp:effectExtent l="6350" t="6350" r="6350" b="6350"/>
                            <wp:wrapSquare wrapText="bothSides"/>
                            <wp:docPr id="34" name="Врезка32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442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  <w:rPr>
                                                  <w:rFonts w:ascii="Times New Roman" w:hAnsi="Times New Roman" w:cs="Times New Roman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  <w:t xml:space="preserve">9.3.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3" o:spid="_x0000_s33" o:spt="1" type="#_x0000_t1" style="position:absolute;z-index:251640320;o:allowoverlap:true;o:allowincell:true;mso-position-horizontal-relative:text;margin-left:-4.9pt;mso-position-horizontal:absolute;mso-position-vertical-relative:text;margin-top:1.4pt;mso-position-vertical:absolute;width:36.3pt;height:19.2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 xml:space="preserve">9.3.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Количественная оценка расходов (возможных поступлений)</w:t>
                  </w:r>
                  <w:r/>
                </w:p>
              </w:tc>
            </w:tr>
            <w:tr>
              <w:trPr>
                <w:trHeight w:val="309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Обеспечить образование земельных участков под многоквартирными жилыми домами.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 образовании земельных участков в границах квартала учитывать красную линию.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 выдаче исходно-разрешительной документации учитывать параметры и виды разрешенного использования земельных участков, установленных документацией по планировке территории.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Утвержденная документация по планировке территории не приведет к расходам бюджета города Костромы. 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639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43392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181595</wp:posOffset>
                            </wp:positionV>
                            <wp:extent cx="461010" cy="273781"/>
                            <wp:effectExtent l="6350" t="6350" r="6350" b="6350"/>
                            <wp:wrapSquare wrapText="bothSides"/>
                            <wp:docPr id="35" name="Врезка33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737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9.4.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4" o:spid="_x0000_s34" o:spt="1" type="#_x0000_t1" style="position:absolute;z-index:251643392;o:allowoverlap:true;o:allowincell:true;mso-position-horizontal-relative:text;margin-left:-4.9pt;mso-position-horizontal:absolute;mso-position-vertical-relative:text;margin-top:14.3pt;mso-position-vertical:absolute;width:36.3pt;height:21.6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9.4.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органа: Администрация города Костромы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restart"/>
                  <w:textDirection w:val="lrTb"/>
                  <w:noWrap w:val="false"/>
                </w:tcPr>
                <w:p>
                  <w:pPr>
                    <w:jc w:val="both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46464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181595</wp:posOffset>
                            </wp:positionV>
                            <wp:extent cx="551180" cy="290291"/>
                            <wp:effectExtent l="6350" t="6350" r="6350" b="6350"/>
                            <wp:wrapSquare wrapText="bothSides"/>
                            <wp:docPr id="36" name="Врезка34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551179" cy="2902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9.4.1.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5" o:spid="_x0000_s35" o:spt="1" type="#_x0000_t1" style="position:absolute;z-index:251646464;o:allowoverlap:true;o:allowincell:true;mso-position-horizontal-relative:text;margin-left:-4.9pt;mso-position-horizontal:absolute;mso-position-vertical-relative:text;margin-top:14.3pt;mso-position-vertical:absolute;width:43.4pt;height:22.9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9.4.1.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 города Костромы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49536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243855"/>
                            <wp:effectExtent l="6350" t="6350" r="6350" b="6350"/>
                            <wp:wrapSquare wrapText="bothSides"/>
                            <wp:docPr id="37" name="Врезка35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551179" cy="2438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9.4.2.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6" o:spid="_x0000_s36" o:spt="1" type="#_x0000_t1" style="position:absolute;z-index:251649536;o:allowoverlap:true;o:allowincell:true;mso-position-horizontal-relative:text;margin-left:-4.9pt;mso-position-horizontal:absolute;mso-position-vertical-relative:text;margin-top:1.4pt;mso-position-vertical:absolute;width:43.4pt;height:19.2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9.4.2.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Единовременные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52608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264219"/>
                            <wp:effectExtent l="6350" t="6350" r="6350" b="6350"/>
                            <wp:wrapSquare wrapText="bothSides"/>
                            <wp:docPr id="38" name="Врезка36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551179" cy="2642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9.4.3.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7" o:spid="_x0000_s37" o:spt="1" type="#_x0000_t1" style="position:absolute;z-index:251652608;o:allowoverlap:true;o:allowincell:true;mso-position-horizontal-relative:text;margin-left:-4.9pt;mso-position-horizontal:absolute;mso-position-vertical-relative:text;margin-top:1.4pt;mso-position-vertical:absolute;width:43.4pt;height:20.8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9.4.3.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Периодические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55680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247760"/>
                            <wp:effectExtent l="6350" t="6350" r="6350" b="6350"/>
                            <wp:wrapSquare wrapText="bothSides"/>
                            <wp:docPr id="39" name="Врезка37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551179" cy="2477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miter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9.4.4.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8" o:spid="_x0000_s38" o:spt="1" type="#_x0000_t1" style="position:absolute;z-index:251655680;o:allowoverlap:true;o:allowincell:true;mso-position-horizontal-relative:text;margin-left:-4.9pt;mso-position-horizontal:absolute;mso-position-vertical-relative:text;margin-top:1.4pt;mso-position-vertical:absolute;width:43.4pt;height:19.5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9.4.4.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Возможные поступления за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</w:t>
                  </w:r>
                  <w:r/>
                </w:p>
              </w:tc>
            </w:tr>
            <w:tr>
              <w:trPr>
                <w:cantSplit/>
                <w:trHeight w:val="15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58752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52869"/>
                            <wp:effectExtent l="6350" t="6350" r="6350" b="6350"/>
                            <wp:wrapSquare wrapText="bothSides"/>
                            <wp:docPr id="40" name="Врезка38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528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9.5.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9" o:spid="_x0000_s39" o:spt="1" type="#_x0000_t1" style="position:absolute;z-index:251658752;o:allowoverlap:true;o:allowincell:true;mso-position-horizontal-relative:text;margin-left:-4.9pt;mso-position-horizontal:absolute;mso-position-vertical-relative:text;margin-top:1.4pt;mso-position-vertical:absolute;width:36.3pt;height:19.9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9.5.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единовременные расходы: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/>
                </w:p>
              </w:tc>
            </w:tr>
            <w:tr>
              <w:trPr>
                <w:cantSplit/>
                <w:trHeight w:val="30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61824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71299"/>
                            <wp:effectExtent l="6350" t="6350" r="6350" b="6350"/>
                            <wp:wrapSquare wrapText="bothSides"/>
                            <wp:docPr id="41" name="Врезка39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712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9.6.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0" o:spid="_x0000_s40" o:spt="1" type="#_x0000_t1" style="position:absolute;z-index:251661824;o:allowoverlap:true;o:allowincell:true;mso-position-horizontal-relative:text;margin-left:-4.9pt;mso-position-horizontal:absolute;mso-position-vertical-relative:text;margin-top:1.4pt;mso-position-vertical:absolute;width:36.3pt;height:21.4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9.6.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периодические расходы за год: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/>
                </w:p>
              </w:tc>
            </w:tr>
            <w:tr>
              <w:trPr>
                <w:cantSplit/>
                <w:trHeight w:val="23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64896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51629"/>
                            <wp:effectExtent l="6350" t="6350" r="6350" b="6350"/>
                            <wp:wrapSquare wrapText="bothSides"/>
                            <wp:docPr id="42" name="Врезка40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51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9.7.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1" o:spid="_x0000_s41" o:spt="1" type="#_x0000_t1" style="position:absolute;z-index:251664896;o:allowoverlap:true;o:allowincell:true;mso-position-horizontal-relative:text;margin-left:-4.9pt;mso-position-horizontal:absolute;mso-position-vertical-relative:text;margin-top:1.4pt;mso-position-vertical:absolute;width:36.3pt;height:19.8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9.7.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возможные поступления за год: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/>
                </w:p>
              </w:tc>
            </w:tr>
            <w:tr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67968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51009"/>
                            <wp:effectExtent l="6350" t="6350" r="6350" b="6350"/>
                            <wp:wrapSquare wrapText="bothSides"/>
                            <wp:docPr id="43" name="Врезка41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510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9.8.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2" o:spid="_x0000_s42" o:spt="1" type="#_x0000_t1" style="position:absolute;z-index:251667968;o:allowoverlap:true;o:allowincell:true;mso-position-horizontal-relative:text;margin-left:-4.9pt;mso-position-horizontal:absolute;mso-position-vertical-relative:text;margin-top:1.4pt;mso-position-vertical:absolute;width:36.3pt;height:19.8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9.8.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сведения о расходах (возможных поступлениях) бюджета города Костромы: -</w:t>
                  </w:r>
                  <w:r/>
                </w:p>
              </w:tc>
            </w:tr>
            <w:tr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pStyle w:val="829"/>
                    <w:numPr>
                      <w:ilvl w:val="0"/>
                      <w:numId w:val="2"/>
                    </w:numPr>
                    <w:jc w:val="both"/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71040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56119"/>
                            <wp:effectExtent l="6350" t="6350" r="6350" b="6350"/>
                            <wp:wrapSquare wrapText="bothSides"/>
                            <wp:docPr id="44" name="Врезка42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561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9.9.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3" o:spid="_x0000_s43" o:spt="1" type="#_x0000_t1" style="position:absolute;z-index:251671040;o:allowoverlap:true;o:allowincell:true;mso-position-horizontal-relative:text;margin-left:-4.9pt;mso-position-horizontal:absolute;mso-position-vertical-relative:text;margin-top:1.4pt;mso-position-vertical:absolute;width:36.3pt;height:20.2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9.9.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26"/>
                      <w:rFonts w:ascii="Times New Roman" w:hAnsi="Times New Roman" w:cs="Times New Roman"/>
                      <w:sz w:val="24"/>
                      <w:szCs w:val="24"/>
                    </w:rPr>
                    <w:t xml:space="preserve">Источники данных: </w:t>
                  </w:r>
                  <w:r/>
                </w:p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3" w:hRule="exact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none"/>
                    </w:rPr>
                    <w:t xml:space="preserve">Источники данных: </w:t>
                  </w:r>
                  <w:r>
                    <w:rPr>
                      <w:highlight w:val="none"/>
                    </w:rPr>
                  </w:r>
                  <w:r/>
                </w:p>
              </w:tc>
            </w:tr>
          </w:tbl>
          <w:p>
            <w:pPr>
              <w:spacing w:before="120" w:after="120"/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r>
            <w:r/>
          </w:p>
        </w:tc>
      </w:tr>
      <w:tr>
        <w:trPr>
          <w:trHeight w:val="990"/>
        </w:trPr>
        <w:tc>
          <w:tcPr>
            <w:shd w:val="clear" w:color="auto" w:fill="auto"/>
            <w:tcW w:w="26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обязанности или ограничения для субъектов инвестиционной,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 </w:t>
            </w:r>
            <w:r/>
          </w:p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29"/>
                    <w:numPr>
                      <w:ilvl w:val="0"/>
                      <w:numId w:val="2"/>
                    </w:numPr>
                    <w:jc w:val="both"/>
                    <w:tabs>
                      <w:tab w:val="left" w:pos="720" w:leader="none"/>
                    </w:tabs>
                    <w:rPr>
                      <w:rStyle w:val="1026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34528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79052"/>
                            <wp:effectExtent l="6350" t="6350" r="6350" b="6350"/>
                            <wp:wrapSquare wrapText="bothSides"/>
                            <wp:docPr id="45" name="Врезка44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790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10.1.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4" o:spid="_x0000_s44" o:spt="1" type="#_x0000_t1" style="position:absolute;z-index:251734528;o:allowoverlap:true;o:allowincell:true;mso-position-horizontal-relative:text;mso-position-horizontal:left;mso-position-vertical-relative:text;margin-top:1.4pt;mso-position-vertical:absolute;width:36.3pt;height:22.0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10.1.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/>
                </w:p>
                <w:p>
                  <w:pPr>
                    <w:pStyle w:val="1062"/>
                    <w:rPr>
                      <w:sz w:val="24"/>
                      <w:szCs w:val="24"/>
                    </w:rPr>
                  </w:pPr>
                  <w:r>
                    <w:rPr>
                      <w:rStyle w:val="1026"/>
                      <w:sz w:val="24"/>
                      <w:szCs w:val="24"/>
                      <w:lang w:eastAsia="ru-RU"/>
                    </w:rPr>
                    <w:t xml:space="preserve">Группа участников отношений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8025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79052"/>
                            <wp:effectExtent l="6350" t="6350" r="6350" b="6350"/>
                            <wp:wrapSquare wrapText="bothSides"/>
                            <wp:docPr id="46" name="Врезка45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790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10.2.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5" o:spid="_x0000_s45" o:spt="1" type="#_x0000_t1" style="position:absolute;z-index:251680256;o:allowoverlap:true;o:allowincell:true;mso-position-horizontal-relative:text;mso-position-horizontal:left;mso-position-vertical-relative:text;margin-top:1.4pt;mso-position-vertical:absolute;width:36.3pt;height:22.0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10.2.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7411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79052"/>
                            <wp:effectExtent l="6350" t="6350" r="6350" b="6350"/>
                            <wp:wrapSquare wrapText="bothSides"/>
                            <wp:docPr id="47" name="Врезка46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790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10.3.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6" o:spid="_x0000_s46" o:spt="1" type="#_x0000_t1" style="position:absolute;z-index:251674112;o:allowoverlap:true;o:allowincell:true;mso-position-horizontal-relative:text;mso-position-horizontal:left;mso-position-vertical-relative:text;margin-top:1.4pt;mso-position-vertical:absolute;width:36.3pt;height:22.0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10.3.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Порядок организации исполнения обязанностей и ограничений</w:t>
                  </w:r>
                  <w:r/>
                </w:p>
              </w:tc>
            </w:tr>
            <w:tr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Индивидуальные предприниматели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 юридические лица, осуществляющие строительную деятельность на территории города Костромы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Вводятся ограничения для субъектов инвестиционной, предпринимательской, и иной экономической  деятельности после постановки на государственный кадастровый учет земельных участков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осуществлять строительную деятельность на образуемых земельных участках в соответствии с параметрами и видами разрешенного использования, установленными документацией по планировке территории.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ind w:firstLine="3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После оформл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ения права на земельный участок под объектами, субъектам инвестиционной, предпринимательской и иной экономической деятельности в случае необходимости потребуется разработать проектно-сметную документацию на реконструкцию объекта капитального строительства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соответствии с параметрами и видами разрешенного использования, установленными документацией по планировке территории.</w:t>
                  </w:r>
                  <w:r/>
                </w:p>
              </w:tc>
            </w:tr>
          </w:tbl>
          <w:p>
            <w:pP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4"/>
                <w:szCs w:val="24"/>
                <w:highlight w:val="yellow"/>
              </w:rPr>
            </w:r>
            <w:r/>
          </w:p>
        </w:tc>
      </w:tr>
      <w:tr>
        <w:trPr>
          <w:gridBefore w:val="1"/>
          <w:trHeight w:val="299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833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  <w:r/>
          </w:p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Оценка расходов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субъектов инвестиционной, предпринимательской и иной экономической деятельности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  <w:r/>
          </w:p>
          <w:tbl>
            <w:tblPr>
              <w:tblW w:w="9634" w:type="dxa"/>
              <w:tblInd w:w="10" w:type="dxa"/>
              <w:tblLook w:val="04A0" w:firstRow="1" w:lastRow="0" w:firstColumn="1" w:lastColumn="0" w:noHBand="0" w:noVBand="1"/>
            </w:tblPr>
            <w:tblGrid>
              <w:gridCol w:w="2996"/>
              <w:gridCol w:w="3110"/>
              <w:gridCol w:w="3528"/>
            </w:tblGrid>
            <w:tr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77184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41989"/>
                            <wp:effectExtent l="6350" t="6350" r="6350" b="6350"/>
                            <wp:wrapSquare wrapText="bothSides"/>
                            <wp:docPr id="48" name="Врезка47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419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88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11.1.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7" o:spid="_x0000_s47" o:spt="1" type="#_x0000_t1" style="position:absolute;z-index:251677184;o:allowoverlap:true;o:allowincell:true;mso-position-horizontal-relative:text;margin-left:-4.9pt;mso-position-horizontal:absolute;mso-position-vertical-relative:text;margin-top:1.4pt;mso-position-vertical:absolute;width:36.3pt;height:19.1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8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11.1.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Группа участников отношений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83328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41989"/>
                            <wp:effectExtent l="6350" t="6350" r="6350" b="6350"/>
                            <wp:wrapSquare wrapText="bothSides"/>
                            <wp:docPr id="49" name="Врезка48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419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11.2.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8" o:spid="_x0000_s48" o:spt="1" type="#_x0000_t1" style="position:absolute;z-index:251683328;o:allowoverlap:true;o:allowincell:true;mso-position-horizontal-relative:text;mso-position-horizontal:left;mso-position-vertical-relative:text;margin-top:1.4pt;mso-position-vertical:absolute;width:36.3pt;height:19.1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11.2.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8640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99139"/>
                            <wp:effectExtent l="6350" t="6350" r="6350" b="6350"/>
                            <wp:wrapSquare wrapText="bothSides"/>
                            <wp:docPr id="50" name="Врезка49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991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11.3.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9" o:spid="_x0000_s49" o:spt="1" type="#_x0000_t1" style="position:absolute;z-index:251686400;o:allowoverlap:true;o:allowincell:true;mso-position-horizontal-relative:text;mso-position-horizontal:left;mso-position-vertical-relative:text;margin-top:1.4pt;mso-position-vertical:absolute;width:36.3pt;height:23.6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11.3.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и оценка видов расходов</w:t>
                  </w:r>
                  <w:r/>
                </w:p>
              </w:tc>
            </w:tr>
            <w:tr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Индивидуальные предприниматели и юридические лица, осуществляющие строительную деятельность на территории города Костромы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Вводятся ограничения для субъектов инвестиционной, предпринимательской и иной экономической деятельности после постановки на государственный кадастровый учет земельных участков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осуществлять строительную деятельность на образуемых земельных участках в соответствии с параметрами и видами разрешенного использования, установленными документацией по планировке территории.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Точную стоимость расходов определить не представляется возможным.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cantSplit/>
                <w:trHeight w:val="28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4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947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1" name="Врезка50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88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11.4.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0" o:spid="_x0000_s50" o:spt="1" type="#_x0000_t1" style="position:absolute;z-index:251689472;o:allowoverlap:true;o:allowincell:true;mso-position-horizontal-relative:text;margin-left:-7.3pt;mso-position-horizontal:absolute;mso-position-vertical-relative:text;margin-top:1.4pt;mso-position-vertical:absolute;width:36.3pt;height:15.4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8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11.4.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Интернет</w:t>
                  </w:r>
                  <w:r/>
                </w:p>
              </w:tc>
            </w:tr>
          </w:tbl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</w:tr>
    </w:tbl>
    <w:p>
      <w:pPr>
        <w:jc w:val="both"/>
        <w:spacing w:line="36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/>
    </w:p>
    <w:tbl>
      <w:tblPr>
        <w:tblW w:w="4900" w:type="pct"/>
        <w:tblInd w:w="-108" w:type="dxa"/>
        <w:tblLook w:val="04A0" w:firstRow="1" w:lastRow="0" w:firstColumn="1" w:lastColumn="0" w:noHBand="0" w:noVBand="1"/>
      </w:tblPr>
      <w:tblGrid>
        <w:gridCol w:w="9890"/>
      </w:tblGrid>
      <w:tr>
        <w:trPr>
          <w:cantSplit/>
        </w:trPr>
        <w:tc>
          <w:tcPr>
            <w:shd w:val="clear" w:color="auto" w:fill="auto"/>
            <w:tcBorders>
              <w:bottom w:val="single" w:color="000000" w:sz="4" w:space="0"/>
            </w:tcBorders>
            <w:tcW w:w="9445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keepNext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      </w:r>
            <w:r/>
          </w:p>
          <w:tbl>
            <w:tblPr>
              <w:tblW w:w="9634" w:type="dxa"/>
              <w:tblInd w:w="10" w:type="dxa"/>
              <w:tblLook w:val="04A0" w:firstRow="1" w:lastRow="0" w:firstColumn="1" w:lastColumn="0" w:noHBand="0" w:noVBand="1"/>
            </w:tblPr>
            <w:tblGrid>
              <w:gridCol w:w="2680"/>
              <w:gridCol w:w="2690"/>
              <w:gridCol w:w="2501"/>
              <w:gridCol w:w="1763"/>
            </w:tblGrid>
            <w:tr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91520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257376"/>
                            <wp:effectExtent l="6350" t="6350" r="6350" b="6350"/>
                            <wp:wrapSquare wrapText="bothSides"/>
                            <wp:docPr id="52" name="Врезка51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57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9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12.1.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1" o:spid="_x0000_s51" o:spt="1" type="#_x0000_t1" style="position:absolute;z-index:251691520;o:allowoverlap:true;o:allowincell:true;mso-position-horizontal-relative:text;margin-left:-4.9pt;mso-position-horizontal:absolute;mso-position-vertical-relative:text;margin-top:1.4pt;mso-position-vertical:absolute;width:36.3pt;height:20.3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12.1.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Риски решения проблемы предложенным способом и риски негативных последствий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93568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57376"/>
                            <wp:effectExtent l="6350" t="6350" r="6350" b="6350"/>
                            <wp:wrapSquare wrapText="bothSides"/>
                            <wp:docPr id="53" name="Врезка52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57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12.2.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2" o:spid="_x0000_s52" o:spt="1" type="#_x0000_t1" style="position:absolute;z-index:251693568;o:allowoverlap:true;o:allowincell:true;mso-position-horizontal-relative:text;mso-position-horizontal:left;mso-position-vertical-relative:text;margin-top:1.4pt;mso-position-vertical:absolute;width:36.3pt;height:20.3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12.2.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Оценки вероятности наступления рисков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9561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551180" cy="257376"/>
                            <wp:effectExtent l="6350" t="6350" r="6350" b="6350"/>
                            <wp:wrapSquare wrapText="bothSides"/>
                            <wp:docPr id="54" name="Врезка53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551179" cy="257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56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5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85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12.3</w:t>
                                              </w: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3" o:spid="_x0000_s53" o:spt="1" type="#_x0000_t1" style="position:absolute;z-index:251695616;o:allowoverlap:true;o:allowincell:true;mso-position-horizontal-relative:text;mso-position-horizontal:left;mso-position-vertical-relative:text;margin-top:1.4pt;mso-position-vertical:absolute;width:43.4pt;height:20.3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85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5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5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12.3</w:t>
                                        </w: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Методы контроля эффективности избранного способа достижения целей регулирования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pStyle w:val="106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9766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257376"/>
                            <wp:effectExtent l="6350" t="6350" r="6350" b="6350"/>
                            <wp:wrapSquare wrapText="bothSides"/>
                            <wp:docPr id="55" name="Врезка54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461009" cy="257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12.4.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4" o:spid="_x0000_s54" o:spt="1" type="#_x0000_t1" style="position:absolute;z-index:251697664;o:allowoverlap:true;o:allowincell:true;mso-position-horizontal-relative:text;mso-position-horizontal:left;mso-position-vertical-relative:text;margin-top:1.4pt;mso-position-vertical:absolute;width:36.3pt;height:20.3pt;mso-wrap-distance-left:0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12.4.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/>
                </w:p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Степень контроля рисков</w:t>
                  </w:r>
                  <w:r/>
                </w:p>
              </w:tc>
            </w:tr>
            <w:tr>
              <w:trPr>
                <w:cantSplit/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 утверждении границ земельных участков в проекте межевания территории могут возникнуть незначительные риски для развития малого и среднего предпринимательства, связанные с увеличени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ем расходов в связи с соблюдением установленных требований по видам разрешенного использования и параметрам при необходимости выполнения реконструкции объектов капитального строительства в соответствии с утвержденной документацией по планировке территории.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Вероятность наступления рисков низкая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Достижение эффективности выбранного способа достижения поставленных целей возможно путем мониторинга поступивших заявлений о выдаче разрешения на реконструкцию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средняя</w:t>
                  </w:r>
                  <w:r/>
                </w:p>
              </w:tc>
            </w:tr>
            <w:tr>
              <w:trPr>
                <w:cantSplit/>
                <w:trHeight w:val="283"/>
              </w:trPr>
              <w:tc>
                <w:tcPr>
                  <w:gridSpan w:val="4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9971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6" name="Врезка55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96"/>
                                        </w:tblGrid>
                                        <w:tr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2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2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12.5.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08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5" o:spid="_x0000_s55" o:spt="1" type="#_x0000_t1" style="position:absolute;z-index:251699712;o:allowoverlap:true;o:allowincell:true;mso-position-horizontal-relative:text;margin-left:-7.3pt;mso-position-horizontal:absolute;mso-position-vertical-relative:text;margin-top:1.4pt;mso-position-vertical:absolute;width:36.3pt;height:15.4pt;mso-wrap-distance-left:9.0pt;mso-wrap-distance-top:0.0pt;mso-wrap-distance-right:9.0pt;mso-wrap-distance-bottom:0.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6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2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2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12.5.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-</w:t>
                  </w:r>
                  <w:r/>
                </w:p>
              </w:tc>
            </w:tr>
          </w:tbl>
          <w:p>
            <w:pPr>
              <w:keepNext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</w:tr>
    </w:tbl>
    <w:p>
      <w:pPr>
        <w:jc w:val="both"/>
        <w:spacing w:line="360" w:lineRule="auto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  <w:highlight w:val="yellow"/>
        </w:rPr>
      </w:r>
      <w:r/>
    </w:p>
    <w:tbl>
      <w:tblPr>
        <w:tblW w:w="4850" w:type="pct"/>
        <w:tblLook w:val="04A0" w:firstRow="1" w:lastRow="0" w:firstColumn="1" w:lastColumn="0" w:noHBand="0" w:noVBand="1"/>
      </w:tblPr>
      <w:tblGrid>
        <w:gridCol w:w="2292"/>
        <w:gridCol w:w="1499"/>
        <w:gridCol w:w="494"/>
        <w:gridCol w:w="287"/>
        <w:gridCol w:w="1781"/>
        <w:gridCol w:w="229"/>
        <w:gridCol w:w="950"/>
        <w:gridCol w:w="1827"/>
        <w:gridCol w:w="99"/>
      </w:tblGrid>
      <w:tr>
        <w:trPr>
          <w:cantSplit/>
        </w:trPr>
        <w:tc>
          <w:tcPr>
            <w:gridSpan w:val="8"/>
            <w:shd w:val="clear" w:color="auto" w:fill="auto"/>
            <w:tcBorders>
              <w:bottom w:val="single" w:color="000000" w:sz="4" w:space="0"/>
            </w:tcBorders>
            <w:tcW w:w="927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  <w:r/>
          </w:p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74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</w:rPr>
            </w:r>
            <w:r/>
          </w:p>
        </w:tc>
      </w:tr>
      <w:tr>
        <w:trPr>
          <w:cantSplit/>
          <w:trHeight w:val="251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8" w:type="dxa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74272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7" name="Врезка57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13.1</w:t>
                                        </w:r>
                                        <w:r>
                                          <w:rPr>
                                            <w:szCs w:val="26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6" o:spid="_x0000_s56" o:spt="1" type="#_x0000_t1" style="position:absolute;z-index:251742720;o:allowoverlap:true;o:allowincell:true;mso-position-horizontal-relative:text;mso-position-horizontal:left;mso-position-vertical-relative:text;margin-top:0.0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13.1</w:t>
                                  </w:r>
                                  <w:r>
                                    <w:rPr>
                                      <w:szCs w:val="26"/>
                                    </w:rPr>
                                    <w:t xml:space="preserve">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Предполагаемая дата всту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пления в силу проекта акта: с 24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.11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.2022</w:t>
            </w:r>
            <w:r/>
          </w:p>
        </w:tc>
      </w:tr>
      <w:tr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70278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250570"/>
                      <wp:effectExtent l="6350" t="6350" r="6350" b="6350"/>
                      <wp:wrapSquare wrapText="bothSides"/>
                      <wp:docPr id="58" name="Врезка57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461009" cy="250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7" o:spid="_x0000_s57" o:spt="1" type="#_x0000_t1" style="position:absolute;z-index:251702784;o:allowoverlap:true;o:allowincell:true;mso-position-horizontal-relative:text;mso-position-horizontal:left;mso-position-vertical-relative:text;margin-top:0.0pt;mso-position-vertical:absolute;width:36.3pt;height:19.7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установления переходного периода и (или) отсрочки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введения предлагаемого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отсутствует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/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/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70585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250570"/>
                      <wp:effectExtent l="6350" t="6350" r="6350" b="6350"/>
                      <wp:wrapSquare wrapText="bothSides"/>
                      <wp:docPr id="59" name="Врезка58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461009" cy="250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8" o:spid="_x0000_s58" o:spt="1" type="#_x0000_t1" style="position:absolute;z-index:251705856;o:allowoverlap:true;o:allowincell:true;mso-position-horizontal-relative:text;mso-position-horizontal:left;mso-position-vertical-relative:text;margin-top:0.0pt;mso-position-vertical:absolute;width:36.3pt;height:19.7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13.3.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</w:t>
            </w:r>
            <w:r/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(если есть необходимость):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  <w:p>
            <w:pPr>
              <w:jc w:val="center"/>
              <w:spacing w:line="200" w:lineRule="exact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(дней с момента опубликования нормативного правового акта)</w:t>
            </w:r>
            <w:r/>
          </w:p>
        </w:tc>
      </w:tr>
      <w:tr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73964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60" name="Врезка60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9" o:spid="_x0000_s59" o:spt="1" type="#_x0000_t1" style="position:absolute;z-index:251739648;o:allowoverlap:true;o:allowincell:true;mso-position-horizontal-relative:text;mso-position-horizontal:left;mso-position-vertical-relative:text;margin-top:0.0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13.4.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распространения предлагаемого регулирования на ранее возникшие отношения:</w:t>
            </w:r>
            <w:r/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отсутствует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7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/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70892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61" name="Врезка60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0" o:spid="_x0000_s60" o:spt="1" type="#_x0000_t1" style="position:absolute;z-index:251708928;o:allowoverlap:true;o:allowincell:true;mso-position-horizontal-relative:text;mso-position-horizontal:left;mso-position-vertical-relative:text;margin-top:0.0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13.5.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Срок(если есть необходимость):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7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  <w:p>
            <w:pPr>
              <w:jc w:val="center"/>
              <w:spacing w:line="180" w:lineRule="exact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(дней до момента вступления в силу нормативного правового акта)</w:t>
            </w:r>
            <w:r/>
          </w:p>
        </w:tc>
      </w:tr>
      <w:tr>
        <w:trPr>
          <w:cantSplit/>
          <w:trHeight w:val="1109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71200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2" name="Врезка61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13.6.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1" o:spid="_x0000_s61" o:spt="1" type="#_x0000_t1" style="position:absolute;z-index:251712000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13.6.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 -</w:t>
            </w:r>
            <w:r/>
          </w:p>
        </w:tc>
      </w:tr>
      <w:tr>
        <w:trPr/>
        <w:tc>
          <w:tcPr>
            <w:gridSpan w:val="9"/>
            <w:shd w:val="clear" w:color="auto" w:fill="auto"/>
            <w:tcBorders>
              <w:bottom w:val="single" w:color="000000" w:sz="4" w:space="0"/>
            </w:tcBorders>
            <w:tcW w:w="934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  <w:r/>
          </w:p>
          <w:p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/>
          </w:p>
        </w:tc>
      </w:tr>
      <w:tr>
        <w:trPr>
          <w:trHeight w:val="25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92" w:type="dxa"/>
            <w:textDirection w:val="lrTb"/>
            <w:noWrap w:val="false"/>
          </w:tcPr>
          <w:p>
            <w:pPr>
              <w:pStyle w:val="106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71507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3" name="Врезка62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2" o:spid="_x0000_s62" o:spt="1" type="#_x0000_t1" style="position:absolute;z-index:251715072;o:allowoverlap:true;o:allowincell:true;mso-position-horizontal-relative:text;mso-position-horizontal:left;mso-position-vertical-relative:text;margin-top:1.4pt;mso-position-vertical:absolute;width:36.3pt;height:15.4pt;mso-wrap-distance-left:0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14.1.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Мероприятия необходимые для достижения целей регулирования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106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71814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4" name="Врезка63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3" o:spid="_x0000_s63" o:spt="1" type="#_x0000_t1" style="position:absolute;z-index:251718144;o:allowoverlap:true;o:allowincell:true;mso-position-horizontal-relative:text;mso-position-horizontal:center;mso-position-vertical-relative:text;margin-top:1.4pt;mso-position-vertical:absolute;width:36.3pt;height:15.4pt;mso-wrap-distance-left:9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Сроки мероприя-тий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9" w:type="dxa"/>
            <w:textDirection w:val="lrTb"/>
            <w:noWrap w:val="false"/>
          </w:tcPr>
          <w:p>
            <w:pPr>
              <w:pStyle w:val="106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72121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5" name="Врезка64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4" o:spid="_x0000_s64" o:spt="1" type="#_x0000_t1" style="position:absolute;z-index:251721216;o:allowoverlap:true;o:allowincell:true;mso-position-horizontal-relative:text;mso-position-horizontal:center;mso-position-vertical-relative:text;margin-top:1.4pt;mso-position-vertical:absolute;width:36.3pt;height:15.4pt;mso-wrap-distance-left:9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14.3.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ожидаемого результата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pStyle w:val="106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72428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6" name="Врезка65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5" o:spid="_x0000_s65" o:spt="1" type="#_x0000_t1" style="position:absolute;z-index:251724288;o:allowoverlap:true;o:allowincell:true;mso-position-horizontal-relative:text;mso-position-horizontal:center;mso-position-vertical-relative:text;margin-top:1.4pt;mso-position-vertical:absolute;width:36.3pt;height:15.4pt;mso-wrap-distance-left:9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14.4.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Объем финанси-рования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textDirection w:val="lrTb"/>
            <w:noWrap w:val="false"/>
          </w:tcPr>
          <w:p>
            <w:pPr>
              <w:pStyle w:val="106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727360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7" name="Врезка66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6" o:spid="_x0000_s66" o:spt="1" type="#_x0000_t1" style="position:absolute;z-index:251727360;o:allowoverlap:true;o:allowincell:true;mso-position-horizontal-relative:text;mso-position-horizontal:center;mso-position-vertical-relative:text;margin-top:1.4pt;mso-position-vertical:absolute;width:36.3pt;height:15.4pt;mso-wrap-distance-left:9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14.5.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финансирования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9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проекта постановления Администрации города Костромы «Об утверждении документации по планировке территории,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ограниченной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улицами Сутырина, Индустриальной, улицей местного значения, проездом Давыдовским 6-м</w:t>
            </w:r>
            <w:r/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 виде проекта межевания территории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С момента опубликования, ориенти</w:t>
            </w:r>
            <w:r>
              <w:rPr>
                <w:sz w:val="24"/>
                <w:szCs w:val="24"/>
                <w:lang w:eastAsia="ru-RU"/>
              </w:rPr>
              <w:t xml:space="preserve">ровочная дата опубликования с 24</w:t>
            </w:r>
            <w:r>
              <w:rPr>
                <w:sz w:val="24"/>
                <w:szCs w:val="24"/>
                <w:lang w:eastAsia="ru-RU"/>
              </w:rPr>
              <w:t xml:space="preserve">.11</w:t>
            </w:r>
            <w:r>
              <w:rPr>
                <w:sz w:val="24"/>
                <w:szCs w:val="24"/>
                <w:lang w:eastAsia="ru-RU"/>
              </w:rPr>
              <w:t xml:space="preserve">.2022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земельных участков в целях соблюдения прав и законных интересов правообладателей земельных участков и объектов капитального строительства.</w:t>
            </w:r>
            <w:r/>
          </w:p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6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250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8" w:type="dxa"/>
            <w:textDirection w:val="lrTb"/>
            <w:noWrap w:val="false"/>
          </w:tcPr>
          <w:p>
            <w:pPr>
              <w:pStyle w:val="1062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745792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68" name="Врезка66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14.6.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7" o:spid="_x0000_s67" o:spt="1" type="#_x0000_t1" style="position:absolute;z-index:251745792;o:allowoverlap:true;o:allowincell:true;mso-position-horizontal-relative:text;margin-left:2.6pt;mso-position-horizontal:absolute;mso-position-vertical-relative:text;margin-top:2.2pt;mso-position-vertical:absolute;width:36.3pt;height:15.4pt;mso-wrap-distance-left:9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14.6.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0 руб. (текущие расходы Администрации города Костромы)</w:t>
            </w:r>
            <w:r/>
          </w:p>
        </w:tc>
      </w:tr>
    </w:tbl>
    <w:p>
      <w:pPr>
        <w:jc w:val="both"/>
        <w:spacing w:line="360" w:lineRule="auto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  <w:highlight w:val="yellow"/>
        </w:rPr>
      </w:r>
      <w:r/>
    </w:p>
    <w:tbl>
      <w:tblPr>
        <w:tblW w:w="9508" w:type="dxa"/>
        <w:tblLook w:val="04A0" w:firstRow="1" w:lastRow="0" w:firstColumn="1" w:lastColumn="0" w:noHBand="0" w:noVBand="1"/>
      </w:tblPr>
      <w:tblGrid>
        <w:gridCol w:w="9508"/>
      </w:tblGrid>
      <w:tr>
        <w:trPr>
          <w:cantSplit/>
        </w:trPr>
        <w:tc>
          <w:tcPr>
            <w:shd w:val="clear" w:color="auto" w:fill="auto"/>
            <w:tcBorders>
              <w:bottom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Иные сведения, которые, по мнению разработчика, позволяют оценить обоснованность предлагаемого регулирования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747840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69" name="Врезка66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15.1.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8" o:spid="_x0000_s68" o:spt="1" type="#_x0000_t1" style="position:absolute;z-index:251747840;o:allowoverlap:true;o:allowincell:true;mso-position-horizontal-relative:text;margin-left:2.6pt;mso-position-horizontal:absolute;mso-position-vertical-relative:text;margin-top:2.2pt;mso-position-vertical:absolute;width:36.3pt;height:15.4pt;mso-wrap-distance-left:9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15.1.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Иные необходимые, по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нению разработчика, сведения: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рамках проведения оценки регулир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ующего воздействия в период с 24 по 28 октября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2022 года предлагаемый Проект размещен на сайте Администрации города Костромы в информационно-телекоммуникационной сети «Интернет» для проведения публичных консультаций. </w:t>
            </w:r>
            <w:r/>
          </w:p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резу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льтатам публичных консультаций предложений и замечаний по указанному проекту не поступало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момент подготовки отчета независимая антикоррупционная экспертиза проекта не проводилась.</w:t>
            </w:r>
            <w:r/>
          </w:p>
        </w:tc>
      </w:tr>
      <w:tr>
        <w:trPr>
          <w:cantSplit/>
          <w:trHeight w:val="3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pStyle w:val="106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749888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70" name="Врезка66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15.2.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08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9" o:spid="_x0000_s69" o:spt="1" type="#_x0000_t1" style="position:absolute;z-index:251749888;o:allowoverlap:true;o:allowincell:true;mso-position-horizontal-relative:text;margin-left:2.6pt;mso-position-horizontal:absolute;mso-position-vertical-relative:text;margin-top:2.2pt;mso-position-vertical:absolute;width:36.3pt;height:15.4pt;mso-wrap-distance-left:9.0pt;mso-wrap-distance-top:0.0pt;mso-wrap-distance-right:9.0pt;mso-wrap-distance-bottom:0.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15.2.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0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Источники данных: сведения, имеющиеся у Разработчика.</w:t>
            </w:r>
            <w:r/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tbl>
      <w:tblPr>
        <w:tblW w:w="9606" w:type="dxa"/>
        <w:tblInd w:w="-108" w:type="dxa"/>
        <w:tblLook w:val="04A0" w:firstRow="1" w:lastRow="0" w:firstColumn="1" w:lastColumn="0" w:noHBand="0" w:noVBand="1"/>
      </w:tblPr>
      <w:tblGrid>
        <w:gridCol w:w="5351"/>
        <w:gridCol w:w="280"/>
        <w:gridCol w:w="1435"/>
        <w:gridCol w:w="248"/>
        <w:gridCol w:w="2292"/>
      </w:tblGrid>
      <w:tr>
        <w:trPr>
          <w:trHeight w:val="315"/>
        </w:trPr>
        <w:tc>
          <w:tcPr>
            <w:shd w:val="clear" w:color="auto" w:fill="auto"/>
            <w:tcBorders>
              <w:bottom w:val="single" w:color="000000" w:sz="4" w:space="0"/>
            </w:tcBorders>
            <w:tcW w:w="535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Управления архитектуры и градостроительства</w:t>
            </w:r>
            <w:r/>
          </w:p>
        </w:tc>
        <w:tc>
          <w:tcPr>
            <w:shd w:val="clear" w:color="auto" w:fill="auto"/>
            <w:tcW w:w="28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4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 </w:t>
            </w:r>
            <w:r/>
          </w:p>
        </w:tc>
        <w:tc>
          <w:tcPr>
            <w:shd w:val="clear" w:color="auto" w:fill="auto"/>
            <w:tcW w:w="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22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А. В. Козырев</w:t>
            </w:r>
            <w:r/>
          </w:p>
        </w:tc>
      </w:tr>
      <w:tr>
        <w:trPr>
          <w:trHeight w:val="270"/>
        </w:trPr>
        <w:tc>
          <w:tcPr>
            <w:shd w:val="clear" w:color="auto" w:fill="auto"/>
            <w:tcW w:w="53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(должность руководителя разработчика)</w:t>
            </w:r>
            <w:r/>
          </w:p>
        </w:tc>
        <w:tc>
          <w:tcPr>
            <w:shd w:val="clear" w:color="auto" w:fill="auto"/>
            <w:tcW w:w="28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4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Подпись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</w:t>
            </w:r>
            <w:r/>
          </w:p>
        </w:tc>
        <w:tc>
          <w:tcPr>
            <w:shd w:val="clear" w:color="auto" w:fill="auto"/>
            <w:tcW w:w="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22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(И. О. Фамилия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);</w:t>
            </w:r>
            <w:r/>
          </w:p>
        </w:tc>
      </w:tr>
    </w:tbl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992" w:right="567" w:bottom="283" w:left="1361" w:header="709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8"/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9" behindDoc="1" locked="0" layoutInCell="1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127750" cy="182880"/>
              <wp:effectExtent l="0" t="0" r="0" b="0"/>
              <wp:wrapNone/>
              <wp:docPr id="1" name="Врезка70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127200" cy="18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068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t xml:space="preserve">8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9;o:allowoverlap:true;o:allowincell:true;mso-position-horizontal-relative:text;mso-position-horizontal:left;mso-position-vertical-relative:line;margin-top:0.0pt;mso-position-vertical:absolute;width:482.5pt;height:14.4pt;mso-wrap-distance-left:0.0pt;mso-wrap-distance-top:0.0pt;mso-wrap-distance-right:0.0pt;mso-wrap-distance-bottom:0.0pt;visibility:visible;" filled="f" stroked="f">
              <v:textbox inset="0,0,0,0">
                <w:txbxContent>
                  <w:p>
                    <w:pPr>
                      <w:pStyle w:val="1068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PAGE</w:instrText>
                    </w:r>
                    <w:r>
                      <w:fldChar w:fldCharType="separate"/>
                    </w:r>
                    <w:r>
                      <w:t xml:space="preserve">8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360" w:hanging="360"/>
      </w:pPr>
      <w:rPr>
        <w:rFonts w:hint="default" w:ascii="Times New Roman" w:hAnsi="Times New Roman" w:cs="Times New Roman"/>
        <w:sz w:val="24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7.%2."/>
      <w:lvlJc w:val="left"/>
      <w:pPr>
        <w:ind w:left="720" w:hanging="720"/>
      </w:pPr>
      <w:rPr>
        <w:rFonts w:cs="Times New Roman"/>
        <w:sz w:val="24"/>
        <w:szCs w:val="26"/>
        <w:lang w:val="ru-RU"/>
      </w:rPr>
    </w:lvl>
    <w:lvl w:ilvl="2">
      <w:start w:val="1"/>
      <w:numFmt w:val="decimal"/>
      <w:isLgl w:val="false"/>
      <w:suff w:val="tab"/>
      <w:lvlText w:val="6.3.%3."/>
      <w:lvlJc w:val="left"/>
      <w:pPr>
        <w:ind w:left="720" w:hanging="720"/>
      </w:pPr>
      <w:rPr/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720" w:hanging="7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/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720" w:hanging="7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/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5">
    <w:multiLevelType w:val="hybridMultilevel"/>
    <w:lvl w:ilvl="0">
      <w:start w:val="1"/>
      <w:numFmt w:val="none"/>
      <w:pStyle w:val="829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687" w:hanging="432"/>
      </w:pPr>
      <w:rPr>
        <w:color w:val="000000"/>
        <w:sz w:val="24"/>
        <w:szCs w:val="26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687" w:hanging="432"/>
      </w:pPr>
      <w:rPr>
        <w:color w:val="000000"/>
        <w:sz w:val="24"/>
        <w:szCs w:val="26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5">
    <w:name w:val="Caption Char"/>
    <w:basedOn w:val="1065"/>
    <w:link w:val="1069"/>
    <w:uiPriority w:val="99"/>
  </w:style>
  <w:style w:type="table" w:styleId="696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6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7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8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9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0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1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character" w:styleId="823">
    <w:name w:val="footnote reference"/>
    <w:basedOn w:val="838"/>
    <w:uiPriority w:val="99"/>
    <w:unhideWhenUsed/>
    <w:rPr>
      <w:vertAlign w:val="superscript"/>
    </w:rPr>
  </w:style>
  <w:style w:type="paragraph" w:styleId="824">
    <w:name w:val="endnote text"/>
    <w:basedOn w:val="82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basedOn w:val="838"/>
    <w:uiPriority w:val="99"/>
    <w:semiHidden/>
    <w:unhideWhenUsed/>
    <w:rPr>
      <w:vertAlign w:val="superscript"/>
    </w:rPr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829">
    <w:name w:val="Heading 1"/>
    <w:basedOn w:val="828"/>
    <w:next w:val="828"/>
    <w:qFormat/>
    <w:pPr>
      <w:numPr>
        <w:numId w:val="1"/>
      </w:num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830">
    <w:name w:val="Heading 2"/>
    <w:next w:val="1063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831">
    <w:name w:val="Heading 3"/>
    <w:next w:val="106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832">
    <w:name w:val="Heading 4"/>
    <w:next w:val="1063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833">
    <w:name w:val="Heading 5"/>
    <w:next w:val="1063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834">
    <w:name w:val="Heading 6"/>
    <w:next w:val="1063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835">
    <w:name w:val="Heading 7"/>
    <w:next w:val="1063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836">
    <w:name w:val="Heading 8"/>
    <w:next w:val="1063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837">
    <w:name w:val="Heading 9"/>
    <w:next w:val="1063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character" w:styleId="841" w:customStyle="1">
    <w:name w:val="WW8Num1z0"/>
    <w:qFormat/>
  </w:style>
  <w:style w:type="character" w:styleId="842" w:customStyle="1">
    <w:name w:val="WW8Num1z1"/>
    <w:qFormat/>
    <w:rPr>
      <w:color w:val="000000"/>
    </w:rPr>
  </w:style>
  <w:style w:type="character" w:styleId="843" w:customStyle="1">
    <w:name w:val="WW8Num1z2"/>
    <w:qFormat/>
    <w:rPr/>
  </w:style>
  <w:style w:type="character" w:styleId="844" w:customStyle="1">
    <w:name w:val="WW8Num2z0"/>
    <w:qFormat/>
  </w:style>
  <w:style w:type="character" w:styleId="845" w:customStyle="1">
    <w:name w:val="WW8Num2z1"/>
    <w:qFormat/>
    <w:rPr>
      <w:rFonts w:ascii="Times New Roman" w:hAnsi="Times New Roman" w:cs="Times New Roman"/>
      <w:sz w:val="26"/>
      <w:szCs w:val="26"/>
      <w:lang w:val="ru-RU"/>
    </w:rPr>
  </w:style>
  <w:style w:type="character" w:styleId="846" w:customStyle="1">
    <w:name w:val="WW8Num2z2"/>
    <w:qFormat/>
    <w:rPr/>
  </w:style>
  <w:style w:type="character" w:styleId="847" w:customStyle="1">
    <w:name w:val="WW8Num3z0"/>
    <w:qFormat/>
    <w:rPr/>
  </w:style>
  <w:style w:type="character" w:styleId="848" w:customStyle="1">
    <w:name w:val="WW8Num3z1"/>
    <w:qFormat/>
  </w:style>
  <w:style w:type="character" w:styleId="849" w:customStyle="1">
    <w:name w:val="WW8Num4z0"/>
    <w:qFormat/>
    <w:rPr>
      <w:b/>
      <w:sz w:val="26"/>
      <w:szCs w:val="26"/>
    </w:rPr>
  </w:style>
  <w:style w:type="character" w:styleId="850" w:customStyle="1">
    <w:name w:val="WW8Num4z1"/>
    <w:qFormat/>
    <w:rPr>
      <w:color w:val="000000"/>
      <w:sz w:val="24"/>
      <w:szCs w:val="26"/>
    </w:rPr>
  </w:style>
  <w:style w:type="character" w:styleId="851" w:customStyle="1">
    <w:name w:val="WW8Num4z2"/>
    <w:qFormat/>
    <w:rPr>
      <w:sz w:val="26"/>
      <w:szCs w:val="26"/>
    </w:rPr>
  </w:style>
  <w:style w:type="character" w:styleId="852" w:customStyle="1">
    <w:name w:val="WW8Num4z3"/>
    <w:qFormat/>
  </w:style>
  <w:style w:type="character" w:styleId="853" w:customStyle="1">
    <w:name w:val="WW8Num4z4"/>
    <w:qFormat/>
  </w:style>
  <w:style w:type="character" w:styleId="854" w:customStyle="1">
    <w:name w:val="WW8Num4z5"/>
    <w:qFormat/>
  </w:style>
  <w:style w:type="character" w:styleId="855" w:customStyle="1">
    <w:name w:val="WW8Num4z6"/>
    <w:qFormat/>
  </w:style>
  <w:style w:type="character" w:styleId="856" w:customStyle="1">
    <w:name w:val="WW8Num4z7"/>
    <w:qFormat/>
  </w:style>
  <w:style w:type="character" w:styleId="857" w:customStyle="1">
    <w:name w:val="WW8Num4z8"/>
    <w:qFormat/>
  </w:style>
  <w:style w:type="character" w:styleId="858" w:customStyle="1">
    <w:name w:val="WW8Num5z0"/>
    <w:qFormat/>
  </w:style>
  <w:style w:type="character" w:styleId="859" w:customStyle="1">
    <w:name w:val="WW8Num5z1"/>
    <w:qFormat/>
  </w:style>
  <w:style w:type="character" w:styleId="860" w:customStyle="1">
    <w:name w:val="WW8Num5z2"/>
    <w:qFormat/>
  </w:style>
  <w:style w:type="character" w:styleId="861" w:customStyle="1">
    <w:name w:val="WW8Num5z3"/>
    <w:qFormat/>
  </w:style>
  <w:style w:type="character" w:styleId="862" w:customStyle="1">
    <w:name w:val="WW8Num5z4"/>
    <w:qFormat/>
  </w:style>
  <w:style w:type="character" w:styleId="863" w:customStyle="1">
    <w:name w:val="WW8Num5z5"/>
    <w:qFormat/>
  </w:style>
  <w:style w:type="character" w:styleId="864" w:customStyle="1">
    <w:name w:val="WW8Num5z6"/>
    <w:qFormat/>
  </w:style>
  <w:style w:type="character" w:styleId="865" w:customStyle="1">
    <w:name w:val="WW8Num5z7"/>
    <w:qFormat/>
  </w:style>
  <w:style w:type="character" w:styleId="866" w:customStyle="1">
    <w:name w:val="WW8Num5z8"/>
    <w:qFormat/>
  </w:style>
  <w:style w:type="character" w:styleId="867" w:customStyle="1">
    <w:name w:val="WW8Num6z0"/>
    <w:qFormat/>
  </w:style>
  <w:style w:type="character" w:styleId="868" w:customStyle="1">
    <w:name w:val="WW8Num6z2"/>
    <w:qFormat/>
    <w:rPr/>
  </w:style>
  <w:style w:type="character" w:styleId="869" w:customStyle="1">
    <w:name w:val="WW8Num7z0"/>
    <w:qFormat/>
  </w:style>
  <w:style w:type="character" w:styleId="870" w:customStyle="1">
    <w:name w:val="WW8Num7z1"/>
    <w:qFormat/>
    <w:rPr>
      <w:sz w:val="24"/>
      <w:szCs w:val="24"/>
    </w:rPr>
  </w:style>
  <w:style w:type="character" w:styleId="871" w:customStyle="1">
    <w:name w:val="WW8Num7z2"/>
    <w:qFormat/>
    <w:rPr/>
  </w:style>
  <w:style w:type="character" w:styleId="872" w:customStyle="1">
    <w:name w:val="WW8Num8z0"/>
    <w:qFormat/>
  </w:style>
  <w:style w:type="character" w:styleId="873" w:customStyle="1">
    <w:name w:val="WW8Num8z1"/>
    <w:qFormat/>
    <w:rPr/>
  </w:style>
  <w:style w:type="character" w:styleId="874" w:customStyle="1">
    <w:name w:val="WW8Num9z0"/>
    <w:qFormat/>
  </w:style>
  <w:style w:type="character" w:styleId="875" w:customStyle="1">
    <w:name w:val="WW8Num9z1"/>
    <w:qFormat/>
  </w:style>
  <w:style w:type="character" w:styleId="876" w:customStyle="1">
    <w:name w:val="WW8Num9z2"/>
    <w:qFormat/>
  </w:style>
  <w:style w:type="character" w:styleId="877" w:customStyle="1">
    <w:name w:val="WW8Num9z3"/>
    <w:qFormat/>
  </w:style>
  <w:style w:type="character" w:styleId="878" w:customStyle="1">
    <w:name w:val="WW8Num9z4"/>
    <w:qFormat/>
  </w:style>
  <w:style w:type="character" w:styleId="879" w:customStyle="1">
    <w:name w:val="WW8Num9z5"/>
    <w:qFormat/>
  </w:style>
  <w:style w:type="character" w:styleId="880" w:customStyle="1">
    <w:name w:val="WW8Num9z6"/>
    <w:qFormat/>
  </w:style>
  <w:style w:type="character" w:styleId="881" w:customStyle="1">
    <w:name w:val="WW8Num9z7"/>
    <w:qFormat/>
  </w:style>
  <w:style w:type="character" w:styleId="882" w:customStyle="1">
    <w:name w:val="WW8Num9z8"/>
    <w:qFormat/>
  </w:style>
  <w:style w:type="character" w:styleId="883" w:customStyle="1">
    <w:name w:val="WW8Num10z0"/>
    <w:qFormat/>
  </w:style>
  <w:style w:type="character" w:styleId="884" w:customStyle="1">
    <w:name w:val="WW8Num10z1"/>
    <w:qFormat/>
    <w:rPr>
      <w:rFonts w:ascii="Times New Roman" w:hAnsi="Times New Roman" w:cs="Times New Roman"/>
      <w:sz w:val="24"/>
      <w:szCs w:val="26"/>
      <w:lang w:val="ru-RU"/>
    </w:rPr>
  </w:style>
  <w:style w:type="character" w:styleId="885" w:customStyle="1">
    <w:name w:val="WW8Num10z2"/>
    <w:qFormat/>
    <w:rPr/>
  </w:style>
  <w:style w:type="character" w:styleId="886" w:customStyle="1">
    <w:name w:val="WW8Num11z0"/>
    <w:qFormat/>
  </w:style>
  <w:style w:type="character" w:styleId="887" w:customStyle="1">
    <w:name w:val="WW8Num11z1"/>
    <w:qFormat/>
    <w:rPr>
      <w:color w:val="000000"/>
    </w:rPr>
  </w:style>
  <w:style w:type="character" w:styleId="888" w:customStyle="1">
    <w:name w:val="WW8Num11z2"/>
    <w:qFormat/>
    <w:rPr/>
  </w:style>
  <w:style w:type="character" w:styleId="889" w:customStyle="1">
    <w:name w:val="WW8Num12z0"/>
    <w:qFormat/>
  </w:style>
  <w:style w:type="character" w:styleId="890" w:customStyle="1">
    <w:name w:val="WW8Num12z1"/>
    <w:qFormat/>
    <w:rPr/>
  </w:style>
  <w:style w:type="character" w:styleId="891" w:customStyle="1">
    <w:name w:val="WW8Num12z2"/>
    <w:qFormat/>
    <w:rPr/>
  </w:style>
  <w:style w:type="character" w:styleId="892" w:customStyle="1">
    <w:name w:val="WW8Num13z0"/>
    <w:qFormat/>
  </w:style>
  <w:style w:type="character" w:styleId="893" w:customStyle="1">
    <w:name w:val="WW8Num13z2"/>
    <w:qFormat/>
    <w:rPr/>
  </w:style>
  <w:style w:type="character" w:styleId="894" w:customStyle="1">
    <w:name w:val="WW8Num14z0"/>
    <w:qFormat/>
  </w:style>
  <w:style w:type="character" w:styleId="895" w:customStyle="1">
    <w:name w:val="WW8Num14z1"/>
    <w:qFormat/>
    <w:rPr>
      <w:rFonts w:ascii="Times New Roman" w:hAnsi="Times New Roman" w:cs="Times New Roman"/>
      <w:sz w:val="26"/>
      <w:szCs w:val="26"/>
      <w:lang w:val="ru-RU"/>
    </w:rPr>
  </w:style>
  <w:style w:type="character" w:styleId="896" w:customStyle="1">
    <w:name w:val="WW8Num14z2"/>
    <w:qFormat/>
    <w:rPr/>
  </w:style>
  <w:style w:type="character" w:styleId="897" w:customStyle="1">
    <w:name w:val="WW8Num15z0"/>
    <w:qFormat/>
    <w:rPr>
      <w:lang w:val="ru-RU"/>
    </w:rPr>
  </w:style>
  <w:style w:type="character" w:styleId="898" w:customStyle="1">
    <w:name w:val="WW8Num15z1"/>
    <w:qFormat/>
  </w:style>
  <w:style w:type="character" w:styleId="899" w:customStyle="1">
    <w:name w:val="WW8Num16z0"/>
    <w:qFormat/>
  </w:style>
  <w:style w:type="character" w:styleId="900" w:customStyle="1">
    <w:name w:val="WW8Num16z1"/>
    <w:qFormat/>
    <w:rPr>
      <w:sz w:val="24"/>
      <w:szCs w:val="24"/>
    </w:rPr>
  </w:style>
  <w:style w:type="character" w:styleId="901" w:customStyle="1">
    <w:name w:val="WW8Num16z2"/>
    <w:qFormat/>
    <w:rPr/>
  </w:style>
  <w:style w:type="character" w:styleId="902" w:customStyle="1">
    <w:name w:val="WW8Num17z0"/>
    <w:qFormat/>
  </w:style>
  <w:style w:type="character" w:styleId="903" w:customStyle="1">
    <w:name w:val="WW8Num17z1"/>
    <w:qFormat/>
  </w:style>
  <w:style w:type="character" w:styleId="904" w:customStyle="1">
    <w:name w:val="WW8Num17z2"/>
    <w:qFormat/>
  </w:style>
  <w:style w:type="character" w:styleId="905" w:customStyle="1">
    <w:name w:val="WW8Num17z3"/>
    <w:qFormat/>
  </w:style>
  <w:style w:type="character" w:styleId="906" w:customStyle="1">
    <w:name w:val="WW8Num17z4"/>
    <w:qFormat/>
  </w:style>
  <w:style w:type="character" w:styleId="907" w:customStyle="1">
    <w:name w:val="WW8Num17z5"/>
    <w:qFormat/>
  </w:style>
  <w:style w:type="character" w:styleId="908" w:customStyle="1">
    <w:name w:val="WW8Num17z6"/>
    <w:qFormat/>
  </w:style>
  <w:style w:type="character" w:styleId="909" w:customStyle="1">
    <w:name w:val="WW8Num17z7"/>
    <w:qFormat/>
  </w:style>
  <w:style w:type="character" w:styleId="910" w:customStyle="1">
    <w:name w:val="WW8Num17z8"/>
    <w:qFormat/>
  </w:style>
  <w:style w:type="character" w:styleId="911" w:customStyle="1">
    <w:name w:val="WW8Num18z0"/>
    <w:qFormat/>
  </w:style>
  <w:style w:type="character" w:styleId="912" w:customStyle="1">
    <w:name w:val="WW8Num18z1"/>
    <w:qFormat/>
  </w:style>
  <w:style w:type="character" w:styleId="913" w:customStyle="1">
    <w:name w:val="WW8Num18z2"/>
    <w:qFormat/>
  </w:style>
  <w:style w:type="character" w:styleId="914" w:customStyle="1">
    <w:name w:val="WW8Num18z3"/>
    <w:qFormat/>
  </w:style>
  <w:style w:type="character" w:styleId="915" w:customStyle="1">
    <w:name w:val="WW8Num18z4"/>
    <w:qFormat/>
  </w:style>
  <w:style w:type="character" w:styleId="916" w:customStyle="1">
    <w:name w:val="WW8Num18z5"/>
    <w:qFormat/>
  </w:style>
  <w:style w:type="character" w:styleId="917" w:customStyle="1">
    <w:name w:val="WW8Num18z6"/>
    <w:qFormat/>
  </w:style>
  <w:style w:type="character" w:styleId="918" w:customStyle="1">
    <w:name w:val="WW8Num18z7"/>
    <w:qFormat/>
  </w:style>
  <w:style w:type="character" w:styleId="919" w:customStyle="1">
    <w:name w:val="WW8Num18z8"/>
    <w:qFormat/>
  </w:style>
  <w:style w:type="character" w:styleId="920" w:customStyle="1">
    <w:name w:val="WW8Num19z0"/>
    <w:qFormat/>
  </w:style>
  <w:style w:type="character" w:styleId="921" w:customStyle="1">
    <w:name w:val="WW8Num19z1"/>
    <w:qFormat/>
    <w:rPr>
      <w:color w:val="000000"/>
    </w:rPr>
  </w:style>
  <w:style w:type="character" w:styleId="922" w:customStyle="1">
    <w:name w:val="WW8Num19z2"/>
    <w:qFormat/>
    <w:rPr/>
  </w:style>
  <w:style w:type="character" w:styleId="923" w:customStyle="1">
    <w:name w:val="WW8Num20z0"/>
    <w:qFormat/>
  </w:style>
  <w:style w:type="character" w:styleId="924" w:customStyle="1">
    <w:name w:val="WW8Num20z1"/>
    <w:qFormat/>
    <w:rPr>
      <w:rFonts w:ascii="Times New Roman" w:hAnsi="Times New Roman" w:cs="Times New Roman"/>
      <w:sz w:val="26"/>
      <w:szCs w:val="26"/>
    </w:rPr>
  </w:style>
  <w:style w:type="character" w:styleId="925" w:customStyle="1">
    <w:name w:val="WW8Num20z2"/>
    <w:qFormat/>
    <w:rPr/>
  </w:style>
  <w:style w:type="character" w:styleId="926" w:customStyle="1">
    <w:name w:val="WW8Num21z0"/>
    <w:qFormat/>
    <w:rPr>
      <w:sz w:val="24"/>
      <w:szCs w:val="26"/>
    </w:rPr>
  </w:style>
  <w:style w:type="character" w:styleId="927" w:customStyle="1">
    <w:name w:val="WW8Num21z1"/>
    <w:qFormat/>
  </w:style>
  <w:style w:type="character" w:styleId="928" w:customStyle="1">
    <w:name w:val="WW8Num21z2"/>
    <w:qFormat/>
  </w:style>
  <w:style w:type="character" w:styleId="929" w:customStyle="1">
    <w:name w:val="WW8Num21z3"/>
    <w:qFormat/>
  </w:style>
  <w:style w:type="character" w:styleId="930" w:customStyle="1">
    <w:name w:val="WW8Num21z4"/>
    <w:qFormat/>
  </w:style>
  <w:style w:type="character" w:styleId="931" w:customStyle="1">
    <w:name w:val="WW8Num21z5"/>
    <w:qFormat/>
  </w:style>
  <w:style w:type="character" w:styleId="932" w:customStyle="1">
    <w:name w:val="WW8Num21z6"/>
    <w:qFormat/>
  </w:style>
  <w:style w:type="character" w:styleId="933" w:customStyle="1">
    <w:name w:val="WW8Num21z7"/>
    <w:qFormat/>
  </w:style>
  <w:style w:type="character" w:styleId="934" w:customStyle="1">
    <w:name w:val="WW8Num21z8"/>
    <w:qFormat/>
  </w:style>
  <w:style w:type="character" w:styleId="935" w:customStyle="1">
    <w:name w:val="WW8Num22z0"/>
    <w:qFormat/>
    <w:rPr>
      <w:b/>
      <w:sz w:val="28"/>
      <w:szCs w:val="28"/>
    </w:rPr>
  </w:style>
  <w:style w:type="character" w:styleId="936" w:customStyle="1">
    <w:name w:val="WW8Num22z1"/>
    <w:qFormat/>
    <w:rPr>
      <w:sz w:val="28"/>
      <w:szCs w:val="28"/>
    </w:rPr>
  </w:style>
  <w:style w:type="character" w:styleId="937" w:customStyle="1">
    <w:name w:val="WW8Num22z2"/>
    <w:qFormat/>
    <w:rPr>
      <w:sz w:val="28"/>
      <w:szCs w:val="28"/>
    </w:rPr>
  </w:style>
  <w:style w:type="character" w:styleId="938" w:customStyle="1">
    <w:name w:val="WW8Num22z3"/>
    <w:qFormat/>
  </w:style>
  <w:style w:type="character" w:styleId="939" w:customStyle="1">
    <w:name w:val="WW8Num22z4"/>
    <w:qFormat/>
  </w:style>
  <w:style w:type="character" w:styleId="940" w:customStyle="1">
    <w:name w:val="WW8Num22z5"/>
    <w:qFormat/>
  </w:style>
  <w:style w:type="character" w:styleId="941" w:customStyle="1">
    <w:name w:val="WW8Num22z6"/>
    <w:qFormat/>
  </w:style>
  <w:style w:type="character" w:styleId="942" w:customStyle="1">
    <w:name w:val="WW8Num22z7"/>
    <w:qFormat/>
  </w:style>
  <w:style w:type="character" w:styleId="943" w:customStyle="1">
    <w:name w:val="WW8Num22z8"/>
    <w:qFormat/>
  </w:style>
  <w:style w:type="character" w:styleId="944" w:customStyle="1">
    <w:name w:val="WW8Num23z0"/>
    <w:qFormat/>
  </w:style>
  <w:style w:type="character" w:styleId="945" w:customStyle="1">
    <w:name w:val="WW8Num23z1"/>
    <w:qFormat/>
    <w:rPr>
      <w:rFonts w:ascii="Times New Roman" w:hAnsi="Times New Roman" w:cs="Times New Roman"/>
      <w:sz w:val="26"/>
      <w:szCs w:val="26"/>
    </w:rPr>
  </w:style>
  <w:style w:type="character" w:styleId="946" w:customStyle="1">
    <w:name w:val="WW8Num23z2"/>
    <w:qFormat/>
    <w:rPr/>
  </w:style>
  <w:style w:type="character" w:styleId="947" w:customStyle="1">
    <w:name w:val="WW8Num24z0"/>
    <w:qFormat/>
  </w:style>
  <w:style w:type="character" w:styleId="948" w:customStyle="1">
    <w:name w:val="WW8Num24z1"/>
    <w:qFormat/>
    <w:rPr/>
  </w:style>
  <w:style w:type="character" w:styleId="949" w:customStyle="1">
    <w:name w:val="WW8Num25z0"/>
    <w:qFormat/>
  </w:style>
  <w:style w:type="character" w:styleId="950" w:customStyle="1">
    <w:name w:val="WW8Num26z0"/>
    <w:qFormat/>
  </w:style>
  <w:style w:type="character" w:styleId="951" w:customStyle="1">
    <w:name w:val="WW8Num26z1"/>
    <w:qFormat/>
  </w:style>
  <w:style w:type="character" w:styleId="952" w:customStyle="1">
    <w:name w:val="WW8Num26z2"/>
    <w:qFormat/>
  </w:style>
  <w:style w:type="character" w:styleId="953" w:customStyle="1">
    <w:name w:val="WW8Num26z3"/>
    <w:qFormat/>
  </w:style>
  <w:style w:type="character" w:styleId="954" w:customStyle="1">
    <w:name w:val="WW8Num26z4"/>
    <w:qFormat/>
  </w:style>
  <w:style w:type="character" w:styleId="955" w:customStyle="1">
    <w:name w:val="WW8Num26z5"/>
    <w:qFormat/>
  </w:style>
  <w:style w:type="character" w:styleId="956" w:customStyle="1">
    <w:name w:val="WW8Num26z6"/>
    <w:qFormat/>
  </w:style>
  <w:style w:type="character" w:styleId="957" w:customStyle="1">
    <w:name w:val="WW8Num26z7"/>
    <w:qFormat/>
  </w:style>
  <w:style w:type="character" w:styleId="958" w:customStyle="1">
    <w:name w:val="WW8Num26z8"/>
    <w:qFormat/>
  </w:style>
  <w:style w:type="character" w:styleId="959" w:customStyle="1">
    <w:name w:val="WW8Num27z0"/>
    <w:qFormat/>
  </w:style>
  <w:style w:type="character" w:styleId="960" w:customStyle="1">
    <w:name w:val="WW8Num27z1"/>
    <w:qFormat/>
  </w:style>
  <w:style w:type="character" w:styleId="961" w:customStyle="1">
    <w:name w:val="WW8Num27z2"/>
    <w:qFormat/>
  </w:style>
  <w:style w:type="character" w:styleId="962" w:customStyle="1">
    <w:name w:val="WW8Num27z3"/>
    <w:qFormat/>
  </w:style>
  <w:style w:type="character" w:styleId="963" w:customStyle="1">
    <w:name w:val="WW8Num27z4"/>
    <w:qFormat/>
  </w:style>
  <w:style w:type="character" w:styleId="964" w:customStyle="1">
    <w:name w:val="WW8Num27z5"/>
    <w:qFormat/>
  </w:style>
  <w:style w:type="character" w:styleId="965" w:customStyle="1">
    <w:name w:val="WW8Num27z6"/>
    <w:qFormat/>
  </w:style>
  <w:style w:type="character" w:styleId="966" w:customStyle="1">
    <w:name w:val="WW8Num27z7"/>
    <w:qFormat/>
  </w:style>
  <w:style w:type="character" w:styleId="967" w:customStyle="1">
    <w:name w:val="WW8Num27z8"/>
    <w:qFormat/>
  </w:style>
  <w:style w:type="character" w:styleId="968" w:customStyle="1">
    <w:name w:val="WW8Num28z0"/>
    <w:qFormat/>
    <w:rPr>
      <w:sz w:val="26"/>
      <w:szCs w:val="26"/>
    </w:rPr>
  </w:style>
  <w:style w:type="character" w:styleId="969" w:customStyle="1">
    <w:name w:val="WW8Num28z1"/>
    <w:qFormat/>
  </w:style>
  <w:style w:type="character" w:styleId="970" w:customStyle="1">
    <w:name w:val="WW8Num28z2"/>
    <w:qFormat/>
  </w:style>
  <w:style w:type="character" w:styleId="971" w:customStyle="1">
    <w:name w:val="WW8Num28z3"/>
    <w:qFormat/>
  </w:style>
  <w:style w:type="character" w:styleId="972" w:customStyle="1">
    <w:name w:val="WW8Num28z4"/>
    <w:qFormat/>
  </w:style>
  <w:style w:type="character" w:styleId="973" w:customStyle="1">
    <w:name w:val="WW8Num28z5"/>
    <w:qFormat/>
  </w:style>
  <w:style w:type="character" w:styleId="974" w:customStyle="1">
    <w:name w:val="WW8Num28z6"/>
    <w:qFormat/>
  </w:style>
  <w:style w:type="character" w:styleId="975" w:customStyle="1">
    <w:name w:val="WW8Num28z7"/>
    <w:qFormat/>
  </w:style>
  <w:style w:type="character" w:styleId="976" w:customStyle="1">
    <w:name w:val="WW8Num28z8"/>
    <w:qFormat/>
  </w:style>
  <w:style w:type="character" w:styleId="977" w:customStyle="1">
    <w:name w:val="WW8Num29z0"/>
    <w:qFormat/>
  </w:style>
  <w:style w:type="character" w:styleId="978" w:customStyle="1">
    <w:name w:val="WW8Num29z1"/>
    <w:qFormat/>
  </w:style>
  <w:style w:type="character" w:styleId="979" w:customStyle="1">
    <w:name w:val="WW8Num29z2"/>
    <w:qFormat/>
  </w:style>
  <w:style w:type="character" w:styleId="980" w:customStyle="1">
    <w:name w:val="WW8Num29z3"/>
    <w:qFormat/>
  </w:style>
  <w:style w:type="character" w:styleId="981" w:customStyle="1">
    <w:name w:val="WW8Num29z4"/>
    <w:qFormat/>
  </w:style>
  <w:style w:type="character" w:styleId="982" w:customStyle="1">
    <w:name w:val="WW8Num29z5"/>
    <w:qFormat/>
  </w:style>
  <w:style w:type="character" w:styleId="983" w:customStyle="1">
    <w:name w:val="WW8Num29z6"/>
    <w:qFormat/>
  </w:style>
  <w:style w:type="character" w:styleId="984" w:customStyle="1">
    <w:name w:val="WW8Num29z7"/>
    <w:qFormat/>
  </w:style>
  <w:style w:type="character" w:styleId="985" w:customStyle="1">
    <w:name w:val="WW8Num29z8"/>
    <w:qFormat/>
  </w:style>
  <w:style w:type="character" w:styleId="986" w:customStyle="1">
    <w:name w:val="WW8Num30z0"/>
    <w:qFormat/>
  </w:style>
  <w:style w:type="character" w:styleId="987" w:customStyle="1">
    <w:name w:val="WW8Num30z1"/>
    <w:qFormat/>
    <w:rPr/>
  </w:style>
  <w:style w:type="character" w:styleId="988" w:customStyle="1">
    <w:name w:val="WW8Num31z0"/>
    <w:qFormat/>
  </w:style>
  <w:style w:type="character" w:styleId="989" w:customStyle="1">
    <w:name w:val="WW8Num31z6"/>
    <w:qFormat/>
    <w:rPr>
      <w:rFonts w:ascii="Times New Roman" w:hAnsi="Times New Roman" w:cs="Times New Roman"/>
    </w:rPr>
  </w:style>
  <w:style w:type="character" w:styleId="990" w:customStyle="1">
    <w:name w:val="WW8Num32z0"/>
    <w:qFormat/>
  </w:style>
  <w:style w:type="character" w:styleId="991" w:customStyle="1">
    <w:name w:val="WW8Num32z1"/>
    <w:qFormat/>
    <w:rPr>
      <w:color w:val="000000"/>
    </w:rPr>
  </w:style>
  <w:style w:type="character" w:styleId="992" w:customStyle="1">
    <w:name w:val="WW8Num32z2"/>
    <w:qFormat/>
    <w:rPr/>
  </w:style>
  <w:style w:type="character" w:styleId="993" w:customStyle="1">
    <w:name w:val="WW8Num33z0"/>
    <w:qFormat/>
    <w:rPr>
      <w:b/>
      <w:sz w:val="28"/>
    </w:rPr>
  </w:style>
  <w:style w:type="character" w:styleId="994" w:customStyle="1">
    <w:name w:val="WW8Num33z1"/>
    <w:qFormat/>
  </w:style>
  <w:style w:type="character" w:styleId="995" w:customStyle="1">
    <w:name w:val="WW8Num33z2"/>
    <w:qFormat/>
  </w:style>
  <w:style w:type="character" w:styleId="996" w:customStyle="1">
    <w:name w:val="WW8Num33z3"/>
    <w:qFormat/>
  </w:style>
  <w:style w:type="character" w:styleId="997" w:customStyle="1">
    <w:name w:val="WW8Num33z4"/>
    <w:qFormat/>
  </w:style>
  <w:style w:type="character" w:styleId="998" w:customStyle="1">
    <w:name w:val="WW8Num33z5"/>
    <w:qFormat/>
  </w:style>
  <w:style w:type="character" w:styleId="999" w:customStyle="1">
    <w:name w:val="WW8Num33z6"/>
    <w:qFormat/>
  </w:style>
  <w:style w:type="character" w:styleId="1000" w:customStyle="1">
    <w:name w:val="WW8Num33z7"/>
    <w:qFormat/>
  </w:style>
  <w:style w:type="character" w:styleId="1001" w:customStyle="1">
    <w:name w:val="WW8Num33z8"/>
    <w:qFormat/>
  </w:style>
  <w:style w:type="character" w:styleId="1002" w:customStyle="1">
    <w:name w:val="WW8Num34z0"/>
    <w:qFormat/>
    <w:rPr>
      <w:rFonts w:eastAsia="Calibri"/>
    </w:rPr>
  </w:style>
  <w:style w:type="character" w:styleId="1003" w:customStyle="1">
    <w:name w:val="WW8Num34z1"/>
    <w:qFormat/>
  </w:style>
  <w:style w:type="character" w:styleId="1004" w:customStyle="1">
    <w:name w:val="WW8Num34z2"/>
    <w:qFormat/>
  </w:style>
  <w:style w:type="character" w:styleId="1005" w:customStyle="1">
    <w:name w:val="WW8Num34z3"/>
    <w:qFormat/>
  </w:style>
  <w:style w:type="character" w:styleId="1006" w:customStyle="1">
    <w:name w:val="WW8Num34z4"/>
    <w:qFormat/>
  </w:style>
  <w:style w:type="character" w:styleId="1007" w:customStyle="1">
    <w:name w:val="WW8Num34z5"/>
    <w:qFormat/>
  </w:style>
  <w:style w:type="character" w:styleId="1008" w:customStyle="1">
    <w:name w:val="WW8Num34z6"/>
    <w:qFormat/>
  </w:style>
  <w:style w:type="character" w:styleId="1009" w:customStyle="1">
    <w:name w:val="WW8Num34z7"/>
    <w:qFormat/>
  </w:style>
  <w:style w:type="character" w:styleId="1010" w:customStyle="1">
    <w:name w:val="WW8Num34z8"/>
    <w:qFormat/>
  </w:style>
  <w:style w:type="character" w:styleId="1011" w:customStyle="1">
    <w:name w:val="WW8Num35z0"/>
    <w:qFormat/>
  </w:style>
  <w:style w:type="character" w:styleId="1012" w:customStyle="1">
    <w:name w:val="WW8Num35z1"/>
    <w:qFormat/>
    <w:rPr>
      <w:color w:val="000000"/>
    </w:rPr>
  </w:style>
  <w:style w:type="character" w:styleId="1013" w:customStyle="1">
    <w:name w:val="WW8Num35z2"/>
    <w:qFormat/>
    <w:rPr/>
  </w:style>
  <w:style w:type="character" w:styleId="1014" w:customStyle="1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styleId="1015" w:customStyle="1">
    <w:name w:val="Верхний колонтитул Знак"/>
    <w:qFormat/>
    <w:rPr>
      <w:sz w:val="24"/>
      <w:szCs w:val="24"/>
    </w:rPr>
  </w:style>
  <w:style w:type="character" w:styleId="1016">
    <w:name w:val="page number"/>
    <w:basedOn w:val="838"/>
  </w:style>
  <w:style w:type="character" w:styleId="1017" w:customStyle="1">
    <w:name w:val="Нижний колонтитул Знак"/>
    <w:qFormat/>
    <w:rPr>
      <w:sz w:val="24"/>
      <w:szCs w:val="24"/>
    </w:rPr>
  </w:style>
  <w:style w:type="character" w:styleId="1018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019" w:customStyle="1">
    <w:name w:val="Текст сноски Знак"/>
    <w:basedOn w:val="838"/>
    <w:qFormat/>
  </w:style>
  <w:style w:type="character" w:styleId="1020" w:customStyle="1">
    <w:name w:val="Символ сноски"/>
    <w:qFormat/>
    <w:rPr>
      <w:vertAlign w:val="superscript"/>
    </w:rPr>
  </w:style>
  <w:style w:type="character" w:styleId="1021">
    <w:name w:val="annotation reference"/>
    <w:qFormat/>
    <w:rPr>
      <w:sz w:val="16"/>
      <w:szCs w:val="16"/>
    </w:rPr>
  </w:style>
  <w:style w:type="character" w:styleId="1022" w:customStyle="1">
    <w:name w:val="Текст примечания Знак"/>
    <w:basedOn w:val="838"/>
    <w:qFormat/>
  </w:style>
  <w:style w:type="character" w:styleId="1023" w:customStyle="1">
    <w:name w:val="Тема примечания Знак"/>
    <w:qFormat/>
    <w:rPr>
      <w:b/>
      <w:bCs/>
    </w:rPr>
  </w:style>
  <w:style w:type="character" w:styleId="1024" w:customStyle="1">
    <w:name w:val="Интернет-ссылка"/>
    <w:rPr>
      <w:color w:val="0000ff"/>
      <w:u w:val="single"/>
    </w:rPr>
  </w:style>
  <w:style w:type="character" w:styleId="1025" w:customStyle="1">
    <w:name w:val="Название Знак"/>
    <w:qFormat/>
    <w:rPr>
      <w:bCs/>
      <w:sz w:val="28"/>
      <w:szCs w:val="28"/>
    </w:rPr>
  </w:style>
  <w:style w:type="character" w:styleId="1026" w:customStyle="1">
    <w:name w:val="Выделение жирным"/>
    <w:qFormat/>
    <w:rPr>
      <w:sz w:val="28"/>
      <w:szCs w:val="28"/>
    </w:rPr>
  </w:style>
  <w:style w:type="character" w:styleId="1027" w:customStyle="1">
    <w:name w:val="Основной текст2"/>
    <w:qFormat/>
    <w:rPr>
      <w:rFonts w:ascii="Times New Roman" w:hAnsi="Times New Roman" w:eastAsia="Times New Roman" w:cs="Times New Roman"/>
      <w:color w:val="000000"/>
      <w:spacing w:val="2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28" w:customStyle="1">
    <w:name w:val="Основной текст + 7"/>
    <w:qFormat/>
    <w:rPr>
      <w:rFonts w:ascii="Times New Roman" w:hAnsi="Times New Roman" w:eastAsia="Times New Roman" w:cs="Times New Roman"/>
      <w:b/>
      <w:bCs/>
      <w:i/>
      <w:iCs/>
      <w:color w:val="000000"/>
      <w:spacing w:val="-1"/>
      <w:position w:val="0"/>
      <w:sz w:val="15"/>
      <w:szCs w:val="15"/>
      <w:highlight w:val="white"/>
      <w:u w:val="none"/>
      <w:vertAlign w:val="baseline"/>
      <w:lang w:val="ru-RU"/>
    </w:rPr>
  </w:style>
  <w:style w:type="character" w:styleId="1029" w:customStyle="1">
    <w:name w:val="Основной текст + Курсив;Интервал 0 pt"/>
    <w:qFormat/>
    <w:rPr>
      <w:rFonts w:ascii="Times New Roman" w:hAnsi="Times New Roman" w:eastAsia="Times New Roman" w:cs="Times New Roman"/>
      <w:i/>
      <w:iCs/>
      <w:color w:val="000000"/>
      <w:spacing w:val="-4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30" w:customStyle="1">
    <w:name w:val="Привязка сноски"/>
    <w:rPr>
      <w:vertAlign w:val="superscript"/>
    </w:rPr>
  </w:style>
  <w:style w:type="character" w:styleId="1031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1032" w:customStyle="1">
    <w:name w:val="Heading 2 Char"/>
    <w:qFormat/>
    <w:rPr>
      <w:rFonts w:ascii="Arial" w:hAnsi="Arial" w:eastAsia="Arial" w:cs="Arial"/>
      <w:sz w:val="34"/>
    </w:rPr>
  </w:style>
  <w:style w:type="character" w:styleId="1033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1034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1035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1036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1037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1038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1039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1040" w:customStyle="1">
    <w:name w:val="Title Char"/>
    <w:qFormat/>
    <w:rPr>
      <w:sz w:val="48"/>
      <w:szCs w:val="48"/>
    </w:rPr>
  </w:style>
  <w:style w:type="character" w:styleId="1041" w:customStyle="1">
    <w:name w:val="Subtitle Char"/>
    <w:qFormat/>
    <w:rPr>
      <w:sz w:val="24"/>
      <w:szCs w:val="24"/>
    </w:rPr>
  </w:style>
  <w:style w:type="character" w:styleId="1042" w:customStyle="1">
    <w:name w:val="Quote Char"/>
    <w:qFormat/>
    <w:rPr>
      <w:i/>
    </w:rPr>
  </w:style>
  <w:style w:type="character" w:styleId="1043" w:customStyle="1">
    <w:name w:val="Intense Quote Char"/>
    <w:qFormat/>
    <w:rPr>
      <w:i/>
    </w:rPr>
  </w:style>
  <w:style w:type="character" w:styleId="1044" w:customStyle="1">
    <w:name w:val="Header Char"/>
    <w:qFormat/>
  </w:style>
  <w:style w:type="character" w:styleId="1045" w:customStyle="1">
    <w:name w:val="Footer Char"/>
    <w:qFormat/>
  </w:style>
  <w:style w:type="character" w:styleId="1046" w:customStyle="1">
    <w:name w:val="Footnote Text Char"/>
    <w:qFormat/>
    <w:rPr>
      <w:sz w:val="18"/>
    </w:rPr>
  </w:style>
  <w:style w:type="character" w:styleId="1047" w:customStyle="1">
    <w:name w:val="Footnote Characters"/>
    <w:qFormat/>
    <w:rPr>
      <w:vertAlign w:val="superscript"/>
    </w:rPr>
  </w:style>
  <w:style w:type="character" w:styleId="1048" w:customStyle="1">
    <w:name w:val="Absatz-Standardschriftart"/>
    <w:qFormat/>
  </w:style>
  <w:style w:type="character" w:styleId="1049" w:customStyle="1">
    <w:name w:val="Основной шрифт абзаца1"/>
    <w:qFormat/>
  </w:style>
  <w:style w:type="character" w:styleId="1050" w:customStyle="1">
    <w:name w:val="WW8Num2z8"/>
    <w:qFormat/>
  </w:style>
  <w:style w:type="character" w:styleId="1051" w:customStyle="1">
    <w:name w:val="WW8Num2z7"/>
    <w:qFormat/>
  </w:style>
  <w:style w:type="character" w:styleId="1052" w:customStyle="1">
    <w:name w:val="WW8Num2z6"/>
    <w:qFormat/>
  </w:style>
  <w:style w:type="character" w:styleId="1053" w:customStyle="1">
    <w:name w:val="WW8Num2z5"/>
    <w:qFormat/>
  </w:style>
  <w:style w:type="character" w:styleId="1054" w:customStyle="1">
    <w:name w:val="WW8Num2z4"/>
    <w:qFormat/>
  </w:style>
  <w:style w:type="character" w:styleId="1055" w:customStyle="1">
    <w:name w:val="WW8Num2z3"/>
    <w:qFormat/>
  </w:style>
  <w:style w:type="character" w:styleId="1056" w:customStyle="1">
    <w:name w:val="WW8Num1z8"/>
    <w:qFormat/>
  </w:style>
  <w:style w:type="character" w:styleId="1057" w:customStyle="1">
    <w:name w:val="WW8Num1z7"/>
    <w:qFormat/>
  </w:style>
  <w:style w:type="character" w:styleId="1058" w:customStyle="1">
    <w:name w:val="WW8Num1z6"/>
    <w:qFormat/>
  </w:style>
  <w:style w:type="character" w:styleId="1059" w:customStyle="1">
    <w:name w:val="WW8Num1z5"/>
    <w:qFormat/>
  </w:style>
  <w:style w:type="character" w:styleId="1060" w:customStyle="1">
    <w:name w:val="WW8Num1z4"/>
    <w:qFormat/>
  </w:style>
  <w:style w:type="character" w:styleId="1061" w:customStyle="1">
    <w:name w:val="WW8Num1z3"/>
    <w:qFormat/>
  </w:style>
  <w:style w:type="paragraph" w:styleId="1062">
    <w:name w:val="Title"/>
    <w:next w:val="1063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1063">
    <w:name w:val="Body Text"/>
    <w:basedOn w:val="828"/>
    <w:pPr>
      <w:spacing w:after="140" w:line="276" w:lineRule="auto"/>
    </w:pPr>
  </w:style>
  <w:style w:type="paragraph" w:styleId="1064">
    <w:name w:val="List"/>
    <w:basedOn w:val="1063"/>
    <w:rPr>
      <w:rFonts w:cs="Arial"/>
    </w:rPr>
  </w:style>
  <w:style w:type="paragraph" w:styleId="1065">
    <w:name w:val="Caption"/>
    <w:basedOn w:val="828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66">
    <w:name w:val="index heading"/>
    <w:basedOn w:val="828"/>
    <w:qFormat/>
    <w:pPr>
      <w:suppressLineNumbers/>
    </w:pPr>
    <w:rPr>
      <w:rFonts w:cs="Arial"/>
    </w:rPr>
  </w:style>
  <w:style w:type="paragraph" w:styleId="1067" w:customStyle="1">
    <w:name w:val="Верхний и нижний колонтитулы"/>
    <w:basedOn w:val="828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068">
    <w:name w:val="Header"/>
    <w:basedOn w:val="828"/>
    <w:pPr>
      <w:tabs>
        <w:tab w:val="center" w:pos="4677" w:leader="none"/>
        <w:tab w:val="right" w:pos="9355" w:leader="none"/>
      </w:tabs>
    </w:pPr>
  </w:style>
  <w:style w:type="paragraph" w:styleId="1069">
    <w:name w:val="Footer"/>
    <w:basedOn w:val="828"/>
    <w:pPr>
      <w:tabs>
        <w:tab w:val="center" w:pos="4677" w:leader="none"/>
        <w:tab w:val="right" w:pos="9355" w:leader="none"/>
      </w:tabs>
    </w:pPr>
  </w:style>
  <w:style w:type="paragraph" w:styleId="1070">
    <w:name w:val="Balloon Text"/>
    <w:basedOn w:val="828"/>
    <w:qFormat/>
    <w:rPr>
      <w:rFonts w:ascii="Tahoma" w:hAnsi="Tahoma" w:cs="Tahoma"/>
      <w:sz w:val="16"/>
      <w:szCs w:val="16"/>
    </w:rPr>
  </w:style>
  <w:style w:type="paragraph" w:styleId="1071">
    <w:name w:val="footnote text"/>
    <w:basedOn w:val="828"/>
    <w:rPr>
      <w:sz w:val="20"/>
      <w:szCs w:val="20"/>
    </w:rPr>
  </w:style>
  <w:style w:type="paragraph" w:styleId="1072" w:customStyle="1">
    <w:name w:val="Char"/>
    <w:basedOn w:val="828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073">
    <w:name w:val="annotation text"/>
    <w:basedOn w:val="828"/>
    <w:qFormat/>
    <w:rPr>
      <w:sz w:val="20"/>
      <w:szCs w:val="20"/>
    </w:rPr>
  </w:style>
  <w:style w:type="paragraph" w:styleId="1074">
    <w:name w:val="annotation subject"/>
    <w:basedOn w:val="1073"/>
    <w:next w:val="1073"/>
    <w:qFormat/>
    <w:rPr>
      <w:b/>
      <w:bCs/>
    </w:rPr>
  </w:style>
  <w:style w:type="paragraph" w:styleId="1075" w:customStyle="1">
    <w:name w:val="Название1"/>
    <w:basedOn w:val="1062"/>
    <w:qFormat/>
    <w:pPr>
      <w:jc w:val="center"/>
    </w:pPr>
    <w:rPr>
      <w:rFonts w:ascii="Cambria" w:hAnsi="Cambria" w:cs="Cambria"/>
      <w:b/>
    </w:rPr>
  </w:style>
  <w:style w:type="paragraph" w:styleId="1076">
    <w:name w:val="Document Map"/>
    <w:basedOn w:val="828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77" w:customStyle="1">
    <w:name w:val="Нумерация"/>
    <w:basedOn w:val="828"/>
    <w:qFormat/>
    <w:pPr>
      <w:jc w:val="both"/>
    </w:pPr>
    <w:rPr>
      <w:sz w:val="26"/>
    </w:rPr>
  </w:style>
  <w:style w:type="paragraph" w:styleId="1078" w:customStyle="1">
    <w:name w:val="ConsPlusNormal"/>
    <w:qFormat/>
    <w:rPr>
      <w:rFonts w:ascii="Times New Roman" w:hAnsi="Times New Roman" w:eastAsia="Times New Roman" w:cs="Times New Roman"/>
      <w:sz w:val="26"/>
      <w:szCs w:val="26"/>
      <w:lang w:bidi="ar-SA"/>
    </w:rPr>
  </w:style>
  <w:style w:type="paragraph" w:styleId="1079" w:customStyle="1">
    <w:name w:val="ConsPlusNonformat"/>
    <w:qFormat/>
    <w:pPr>
      <w:widowControl w:val="off"/>
    </w:pPr>
    <w:rPr>
      <w:rFonts w:ascii="Courier New" w:hAnsi="Courier New" w:eastAsia="Times New Roman" w:cs="Courier New"/>
      <w:szCs w:val="20"/>
      <w:lang w:bidi="ar-SA"/>
    </w:rPr>
  </w:style>
  <w:style w:type="paragraph" w:styleId="1080" w:customStyle="1">
    <w:name w:val="Основной текст3"/>
    <w:basedOn w:val="828"/>
    <w:qFormat/>
    <w:pPr>
      <w:jc w:val="center"/>
      <w:spacing w:after="240" w:line="250" w:lineRule="exact"/>
    </w:pPr>
    <w:rPr>
      <w:color w:val="000000"/>
      <w:spacing w:val="2"/>
      <w:sz w:val="20"/>
      <w:szCs w:val="20"/>
    </w:rPr>
  </w:style>
  <w:style w:type="paragraph" w:styleId="1081">
    <w:name w:val="List Paragraph"/>
    <w:basedOn w:val="828"/>
    <w:qFormat/>
    <w:pPr>
      <w:contextualSpacing/>
      <w:ind w:left="720"/>
    </w:pPr>
  </w:style>
  <w:style w:type="paragraph" w:styleId="1082" w:customStyle="1">
    <w:name w:val="Содержимое таблицы"/>
    <w:basedOn w:val="828"/>
    <w:qFormat/>
    <w:pPr>
      <w:suppressLineNumbers/>
    </w:pPr>
  </w:style>
  <w:style w:type="paragraph" w:styleId="1083" w:customStyle="1">
    <w:name w:val="Заголовок таблицы"/>
    <w:basedOn w:val="1082"/>
    <w:qFormat/>
    <w:pPr>
      <w:jc w:val="center"/>
    </w:pPr>
    <w:rPr>
      <w:b/>
      <w:bCs/>
    </w:rPr>
  </w:style>
  <w:style w:type="paragraph" w:styleId="1084" w:customStyle="1">
    <w:name w:val="Содержимое врезки"/>
    <w:basedOn w:val="828"/>
    <w:qFormat/>
  </w:style>
  <w:style w:type="paragraph" w:styleId="1085" w:customStyle="1">
    <w:name w:val="ConsPlusTitle"/>
    <w:qFormat/>
    <w:pPr>
      <w:widowControl w:val="off"/>
    </w:pPr>
    <w:rPr>
      <w:rFonts w:ascii="Calibri" w:hAnsi="Calibri" w:eastAsia="Times New Roman" w:cs="Calibri"/>
      <w:b/>
      <w:sz w:val="22"/>
      <w:szCs w:val="20"/>
      <w:lang w:bidi="ar-SA"/>
    </w:rPr>
  </w:style>
  <w:style w:type="paragraph" w:styleId="1086">
    <w:name w:val="Normal (Web)"/>
    <w:basedOn w:val="828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1087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088">
    <w:name w:val="Subtitle"/>
    <w:next w:val="1063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1089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1090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1091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092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093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094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095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096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097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098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099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00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01" w:customStyle="1">
    <w:name w:val="Указатель1"/>
    <w:basedOn w:val="828"/>
    <w:qFormat/>
  </w:style>
  <w:style w:type="paragraph" w:styleId="1102">
    <w:name w:val="Body Text Indent 2"/>
    <w:basedOn w:val="828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numbering" w:styleId="1103" w:customStyle="1">
    <w:name w:val="WW8Num1"/>
    <w:qFormat/>
  </w:style>
  <w:style w:type="numbering" w:styleId="1104" w:customStyle="1">
    <w:name w:val="WW8Num2"/>
    <w:qFormat/>
  </w:style>
  <w:style w:type="numbering" w:styleId="1105" w:customStyle="1">
    <w:name w:val="WW8Num3"/>
    <w:qFormat/>
  </w:style>
  <w:style w:type="numbering" w:styleId="1106" w:customStyle="1">
    <w:name w:val="WW8Num4"/>
    <w:qFormat/>
  </w:style>
  <w:style w:type="numbering" w:styleId="1107" w:customStyle="1">
    <w:name w:val="WW8Num5"/>
    <w:qFormat/>
  </w:style>
  <w:style w:type="numbering" w:styleId="1108" w:customStyle="1">
    <w:name w:val="WW8Num6"/>
    <w:qFormat/>
  </w:style>
  <w:style w:type="numbering" w:styleId="1109" w:customStyle="1">
    <w:name w:val="WW8Num7"/>
    <w:qFormat/>
  </w:style>
  <w:style w:type="numbering" w:styleId="1110" w:customStyle="1">
    <w:name w:val="WW8Num8"/>
    <w:qFormat/>
  </w:style>
  <w:style w:type="numbering" w:styleId="1111" w:customStyle="1">
    <w:name w:val="WW8Num9"/>
    <w:qFormat/>
  </w:style>
  <w:style w:type="numbering" w:styleId="1112" w:customStyle="1">
    <w:name w:val="WW8Num10"/>
    <w:qFormat/>
  </w:style>
  <w:style w:type="numbering" w:styleId="1113" w:customStyle="1">
    <w:name w:val="WW8Num11"/>
    <w:qFormat/>
  </w:style>
  <w:style w:type="numbering" w:styleId="1114" w:customStyle="1">
    <w:name w:val="WW8Num12"/>
    <w:qFormat/>
  </w:style>
  <w:style w:type="numbering" w:styleId="1115" w:customStyle="1">
    <w:name w:val="WW8Num13"/>
    <w:qFormat/>
  </w:style>
  <w:style w:type="numbering" w:styleId="1116" w:customStyle="1">
    <w:name w:val="WW8Num14"/>
    <w:qFormat/>
  </w:style>
  <w:style w:type="numbering" w:styleId="1117" w:customStyle="1">
    <w:name w:val="WW8Num15"/>
    <w:qFormat/>
  </w:style>
  <w:style w:type="numbering" w:styleId="1118" w:customStyle="1">
    <w:name w:val="WW8Num16"/>
    <w:qFormat/>
  </w:style>
  <w:style w:type="numbering" w:styleId="1119" w:customStyle="1">
    <w:name w:val="WW8Num17"/>
    <w:qFormat/>
  </w:style>
  <w:style w:type="numbering" w:styleId="1120" w:customStyle="1">
    <w:name w:val="WW8Num18"/>
    <w:qFormat/>
  </w:style>
  <w:style w:type="numbering" w:styleId="1121" w:customStyle="1">
    <w:name w:val="WW8Num19"/>
    <w:qFormat/>
  </w:style>
  <w:style w:type="numbering" w:styleId="1122" w:customStyle="1">
    <w:name w:val="WW8Num20"/>
    <w:qFormat/>
  </w:style>
  <w:style w:type="numbering" w:styleId="1123" w:customStyle="1">
    <w:name w:val="WW8Num21"/>
    <w:qFormat/>
  </w:style>
  <w:style w:type="numbering" w:styleId="1124" w:customStyle="1">
    <w:name w:val="WW8Num22"/>
    <w:qFormat/>
  </w:style>
  <w:style w:type="numbering" w:styleId="1125" w:customStyle="1">
    <w:name w:val="WW8Num23"/>
    <w:qFormat/>
  </w:style>
  <w:style w:type="numbering" w:styleId="1126" w:customStyle="1">
    <w:name w:val="WW8Num24"/>
    <w:qFormat/>
  </w:style>
  <w:style w:type="numbering" w:styleId="1127" w:customStyle="1">
    <w:name w:val="WW8Num25"/>
    <w:qFormat/>
  </w:style>
  <w:style w:type="numbering" w:styleId="1128" w:customStyle="1">
    <w:name w:val="WW8Num26"/>
    <w:qFormat/>
  </w:style>
  <w:style w:type="numbering" w:styleId="1129" w:customStyle="1">
    <w:name w:val="WW8Num27"/>
    <w:qFormat/>
  </w:style>
  <w:style w:type="numbering" w:styleId="1130" w:customStyle="1">
    <w:name w:val="WW8Num28"/>
    <w:qFormat/>
  </w:style>
  <w:style w:type="numbering" w:styleId="1131" w:customStyle="1">
    <w:name w:val="WW8Num29"/>
    <w:qFormat/>
  </w:style>
  <w:style w:type="numbering" w:styleId="1132" w:customStyle="1">
    <w:name w:val="WW8Num30"/>
    <w:qFormat/>
  </w:style>
  <w:style w:type="numbering" w:styleId="1133" w:customStyle="1">
    <w:name w:val="WW8Num31"/>
    <w:qFormat/>
  </w:style>
  <w:style w:type="numbering" w:styleId="1134" w:customStyle="1">
    <w:name w:val="WW8Num32"/>
    <w:qFormat/>
  </w:style>
  <w:style w:type="numbering" w:styleId="1135" w:customStyle="1">
    <w:name w:val="WW8Num33"/>
    <w:qFormat/>
  </w:style>
  <w:style w:type="numbering" w:styleId="1136" w:customStyle="1">
    <w:name w:val="WW8Num34"/>
    <w:qFormat/>
  </w:style>
  <w:style w:type="numbering" w:styleId="1137" w:customStyle="1">
    <w:name w:val="WW8Num35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consultantplus://offline/ref=3B12DBF9DA4F655A3950F706F739D7FE7793F5E3BB745CF96FD88E96074277859D524A668E09FE57A7B968P7iBJ" TargetMode="External"/><Relationship Id="rId12" Type="http://schemas.openxmlformats.org/officeDocument/2006/relationships/hyperlink" Target="consultantplus://offline/ref=3B12DBF9DA4F655A3950F706F739D7FE7793F5E3B57654F765D88E96074277859D524A668E09FE57A6BF68P7i8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формы сводного отчета</dc:title>
  <dc:subject/>
  <dc:creator>User</dc:creator>
  <dc:description/>
  <dc:language>ru-RU</dc:language>
  <cp:revision>158</cp:revision>
  <dcterms:created xsi:type="dcterms:W3CDTF">2018-11-07T12:43:00Z</dcterms:created>
  <dcterms:modified xsi:type="dcterms:W3CDTF">2022-10-24T11:38:02Z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">
    <vt:lpwstr/>
  </property>
  <property fmtid="{D5CDD505-2E9C-101B-9397-08002B2CF9AE}" pid="3" name="???????????">
    <vt:lpwstr/>
  </property>
  <property fmtid="{D5CDD505-2E9C-101B-9397-08002B2CF9AE}" pid="4" name="_EmailEntryID">
    <vt:lpwstr>000000006C99AEA244DAEA48828CE5E6EEDACC210700A771B9B9CB6DC64C96DC251FA1473B830000007A85980000A771B9B9CB6DC64C96DC251FA1473B83000009F7C3330000</vt:lpwstr>
  </property>
  <property fmtid="{D5CDD505-2E9C-101B-9397-08002B2CF9AE}" pid="5" name="_EmailStoreID0">
    <vt:lpwstr>0000000038A1BB1005E5101AA1BB08002B2A56C20000454D534D44422E444C4C00000000000000001B55FA20AA6611CD9BC800AA002FC45A0C000000532D4558434843002F6F3D436974792048616C6C206F66204B6F7374726F6D612F6F753D45786368616E67652041646D696E6973747261746976652047726F757020284</vt:lpwstr>
  </property>
  <property fmtid="{D5CDD505-2E9C-101B-9397-08002B2CF9AE}" pid="6" name="_EmailStoreID1">
    <vt:lpwstr>6594449424F484632335350444C54292F636E3D526563697069656E74732F636E3D75736572623230656362653100</vt:lpwstr>
  </property>
  <property fmtid="{D5CDD505-2E9C-101B-9397-08002B2CF9AE}" pid="7" name="_EmailStoreID2">
    <vt:lpwstr>00750000000000</vt:lpwstr>
  </property>
  <property fmtid="{D5CDD505-2E9C-101B-9397-08002B2CF9AE}" pid="8" name="_NewReviewCycle">
    <vt:lpwstr/>
  </property>
  <property fmtid="{D5CDD505-2E9C-101B-9397-08002B2CF9AE}" pid="9" name="_ReviewCycleID">
    <vt:i4>-1032105739</vt:i4>
  </property>
  <property fmtid="{D5CDD505-2E9C-101B-9397-08002B2CF9AE}" pid="10" name="_ReviewingToolsShownOnce">
    <vt:lpwstr/>
  </property>
  <property fmtid="{D5CDD505-2E9C-101B-9397-08002B2CF9AE}" pid="11" name="_TentativeReviewCycleID">
    <vt:i4>-1032105739</vt:i4>
  </property>
</Properties>
</file>