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Жужелинской, Хвойной, Богатырской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  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25 сентября по 1 октября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1</Pages>
  <Words>224</Words>
  <Characters>1738</Characters>
  <CharactersWithSpaces>2006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2025-09-25T10:36:17Z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