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jc w:val="center"/>
        <w:widowControl/>
        <w:rPr>
          <w:rFonts w:ascii="Times New Roman" w:hAnsi="Times New Roman" w:eastAsia="Calibri" w:cs="Times New Roman"/>
          <w:b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 xml:space="preserve">ЗАКЛЮЧЕНИЕ О РЕЗУЛЬТАТАХ ПУБЛИЧНЫХ СЛУШАНИЙ</w:t>
      </w: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</w:r>
    </w:p>
    <w:p>
      <w:pPr>
        <w:pStyle w:val="617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  <w:t xml:space="preserve">11 июня 2024 года </w:t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</w:p>
    <w:p>
      <w:pPr>
        <w:pStyle w:val="617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Собрание участников публичных слушаниях 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/>
        </w:rPr>
        <w:t xml:space="preserve">по проектам постановлений Адм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инистрации города Костромы о предоставлении разрешений на условно разрешенный вид использования земельных участков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или объектов капитального строительства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имеющих местоположение в городе Костроме: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улица Никитская, ГСК               № 103, гаражный бокс № 2в, с кадастр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овым номером 44:27:040639:3663, улица Смирнова Юрия, с кадастровым номером 44:27:040638:2680, улица Городская, 1в, ГПК 204, бокс 19, 20, с кадастровым номером 44:27:090508:956, микрорайон Черноречье, ГСК 27, бокс 26, с кадастровым номером 44:27:070109:5362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 проводилось 11 июня 2024 года с 15-00 часов до 16-20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В публичных слушаниях принял участие 1 человек.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По результатам публичных слушаний составлен протокол публичных слушаний                   № 222 от 11 июня 2024 года, на основании которого подготовлено настоящее заключение о результатах публичных слушаний.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pStyle w:val="617"/>
        <w:ind w:firstLine="567"/>
        <w:jc w:val="both"/>
        <w:widowControl/>
        <w:rPr>
          <w:highlight w:val="none"/>
          <w:shd w:val="clear" w:color="auto" w:fill="auto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От участников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 публичных слушаний, постоянно проживающих на территории, в пределах которой проводились публичные слушания, предложений и замечаний в адрес Комиссии не поступало. От иных участников публичных слушаний предложений и замечаний в адрес Комиссии не поступало.</w:t>
      </w:r>
      <w:r>
        <w:rPr>
          <w:highlight w:val="none"/>
          <w:shd w:val="clear" w:color="auto" w:fill="auto"/>
        </w:rPr>
      </w:r>
    </w:p>
    <w:p>
      <w:pPr>
        <w:pStyle w:val="617"/>
        <w:ind w:firstLine="567"/>
        <w:jc w:val="both"/>
        <w:widowControl/>
        <w:rPr>
          <w:highlight w:val="none"/>
          <w:shd w:val="clear" w:color="auto" w:fill="auto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Выводы Комиссии по подготовке проекта Правил землепользования и застройки города Костромы по результатам публичных слушаний:</w:t>
      </w:r>
      <w:r>
        <w:rPr>
          <w:highlight w:val="none"/>
          <w:shd w:val="clear" w:color="auto" w:fill="auto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auto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  <w:lang w:eastAsia="ar-SA"/>
        </w:rPr>
        <w:t xml:space="preserve">1 вопрос </w:t>
      </w:r>
      <w:r>
        <w:rPr>
          <w:highlight w:val="none"/>
          <w:shd w:val="clear" w:color="auto" w:fill="auto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улица Никитская, ГСК № 103, гаражный бокс           № 2в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44:27:040639:3663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eastAsia="en-US"/>
        </w:rPr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eastAsia="en-US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  <w:lang w:eastAsia="ar-SA"/>
        </w:rPr>
        <w:t xml:space="preserve">2 вопрос </w:t>
      </w:r>
      <w:r>
        <w:rPr>
          <w:highlight w:val="none"/>
          <w:shd w:val="clear" w:color="auto" w:fill="auto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отказать в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предоставлении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разрешени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я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улица Смирнова Юрия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44:27:040638:2680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.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  <w:lang w:eastAsia="ar-SA"/>
        </w:rPr>
        <w:t xml:space="preserve">3 вопрос </w:t>
      </w:r>
      <w:r>
        <w:rPr>
          <w:highlight w:val="none"/>
          <w:shd w:val="clear" w:color="auto" w:fill="auto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eastAsia="Calibri" w:cs="Times New Roman"/>
          <w:b/>
          <w:sz w:val="26"/>
          <w:szCs w:val="26"/>
          <w:u w:val="single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улица Городская, 1в, ГПК 204, бокс 19, 20,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с кадастровым номером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44:27:090508:956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.</w:t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eastAsia="en-US"/>
        </w:rPr>
      </w:r>
    </w:p>
    <w:p>
      <w:pPr>
        <w:pStyle w:val="617"/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highlight w:val="none"/>
          <w:shd w:val="clear" w:color="auto" w:fill="ffff00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ffff00"/>
          <w:lang w:eastAsia="en-US"/>
        </w:rPr>
      </w:r>
      <w:r>
        <w:rPr>
          <w:rFonts w:ascii="Times New Roman" w:hAnsi="Times New Roman" w:eastAsia="Calibri" w:cs="Times New Roman"/>
          <w:sz w:val="26"/>
          <w:szCs w:val="26"/>
          <w:highlight w:val="none"/>
          <w:shd w:val="clear" w:color="auto" w:fill="ffff00"/>
          <w:lang w:eastAsia="en-US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  <w:lang w:eastAsia="ar-SA"/>
        </w:rPr>
        <w:t xml:space="preserve">4 вопрос </w:t>
      </w:r>
      <w:r>
        <w:rPr>
          <w:highlight w:val="none"/>
          <w:shd w:val="clear" w:color="auto" w:fill="auto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- предоставить разрешение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ascii="Times New Roman" w:hAnsi="Times New Roman" w:eastAsia="NSimSu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ar-SA" w:bidi="ar-SA"/>
        </w:rPr>
        <w:t xml:space="preserve">микрорайон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en-US"/>
        </w:rPr>
        <w:t xml:space="preserve"> Черноречье, ГСК 27, бокс 26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, с кадастровым номером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en-US"/>
        </w:rPr>
        <w:t xml:space="preserve">44:27:070109:5362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ffff00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00"/>
          <w:lang w:eastAsia="ar-SA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ffff00"/>
          <w:lang w:eastAsia="ar-SA"/>
        </w:rPr>
      </w:r>
    </w:p>
    <w:p>
      <w:pPr>
        <w:pStyle w:val="617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</w:p>
    <w:sectPr>
      <w:footnotePr/>
      <w:endnotePr/>
      <w:type w:val="nextPage"/>
      <w:pgSz w:w="11906" w:h="16838" w:orient="portrait"/>
      <w:pgMar w:top="568" w:right="707" w:bottom="709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NSimSun">
    <w:panose1 w:val="02010609030101010101"/>
  </w:font>
  <w:font w:name="Mangal">
    <w:panose1 w:val="02040503050203030202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Mangal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17" w:default="1">
    <w:name w:val="Normal"/>
    <w:qFormat/>
    <w:pPr>
      <w:jc w:val="left"/>
      <w:spacing w:before="0" w:after="0"/>
      <w:widowControl w:val="off"/>
    </w:pPr>
    <w:rPr>
      <w:rFonts w:ascii="Arial" w:hAnsi="Arial" w:eastAsia="NSimSun" w:cs="Arial"/>
      <w:color w:val="auto"/>
      <w:sz w:val="18"/>
      <w:szCs w:val="18"/>
      <w:lang w:val="ru-RU" w:eastAsia="ru-RU" w:bidi="ar-SA"/>
    </w:rPr>
  </w:style>
  <w:style w:type="paragraph" w:styleId="618">
    <w:name w:val="Heading 1"/>
    <w:basedOn w:val="6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19">
    <w:name w:val="Heading 2"/>
    <w:basedOn w:val="6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0">
    <w:name w:val="Heading 3"/>
    <w:basedOn w:val="6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1">
    <w:name w:val="Heading 4"/>
    <w:basedOn w:val="6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2">
    <w:name w:val="Heading 5"/>
    <w:basedOn w:val="617"/>
    <w:semiHidden/>
    <w:unhideWhenUsed/>
    <w:qFormat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3">
    <w:name w:val="Heading 6"/>
    <w:basedOn w:val="6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4">
    <w:name w:val="Heading 7"/>
    <w:basedOn w:val="6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5">
    <w:name w:val="Heading 8"/>
    <w:basedOn w:val="6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6">
    <w:name w:val="Heading 9"/>
    <w:basedOn w:val="6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7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28">
    <w:name w:val="Heading 2 Char"/>
    <w:uiPriority w:val="9"/>
    <w:qFormat/>
    <w:rPr>
      <w:rFonts w:ascii="Arial" w:hAnsi="Arial" w:eastAsia="Arial" w:cs="Arial"/>
      <w:sz w:val="34"/>
    </w:rPr>
  </w:style>
  <w:style w:type="character" w:styleId="629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30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3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32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33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34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35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36">
    <w:name w:val="Title Char"/>
    <w:uiPriority w:val="10"/>
    <w:qFormat/>
    <w:rPr>
      <w:sz w:val="48"/>
      <w:szCs w:val="48"/>
    </w:rPr>
  </w:style>
  <w:style w:type="character" w:styleId="637">
    <w:name w:val="Subtitle Char"/>
    <w:uiPriority w:val="11"/>
    <w:qFormat/>
    <w:rPr>
      <w:sz w:val="24"/>
      <w:szCs w:val="24"/>
    </w:rPr>
  </w:style>
  <w:style w:type="character" w:styleId="638">
    <w:name w:val="Quote Char"/>
    <w:uiPriority w:val="29"/>
    <w:qFormat/>
    <w:rPr>
      <w:i/>
    </w:rPr>
  </w:style>
  <w:style w:type="character" w:styleId="639">
    <w:name w:val="Intense Quote Char"/>
    <w:uiPriority w:val="30"/>
    <w:qFormat/>
    <w:rPr>
      <w:i/>
    </w:rPr>
  </w:style>
  <w:style w:type="character" w:styleId="640">
    <w:name w:val="Header Char"/>
    <w:uiPriority w:val="99"/>
    <w:qFormat/>
  </w:style>
  <w:style w:type="character" w:styleId="641">
    <w:name w:val="Footer Char"/>
    <w:uiPriority w:val="99"/>
    <w:qFormat/>
  </w:style>
  <w:style w:type="character" w:styleId="642">
    <w:name w:val="Caption Char"/>
    <w:uiPriority w:val="99"/>
    <w:qFormat/>
  </w:style>
  <w:style w:type="character" w:styleId="643">
    <w:name w:val="Hyperlink"/>
    <w:uiPriority w:val="99"/>
    <w:unhideWhenUsed/>
    <w:rPr>
      <w:color w:val="0000ff" w:themeColor="hyperlink"/>
      <w:u w:val="single"/>
    </w:rPr>
  </w:style>
  <w:style w:type="character" w:styleId="644">
    <w:name w:val="Footnote Text Char"/>
    <w:uiPriority w:val="99"/>
    <w:qFormat/>
    <w:rPr>
      <w:sz w:val="18"/>
    </w:rPr>
  </w:style>
  <w:style w:type="character" w:styleId="645">
    <w:name w:val="Символ сноски"/>
    <w:uiPriority w:val="99"/>
    <w:unhideWhenUsed/>
    <w:qFormat/>
    <w:rPr>
      <w:vertAlign w:val="superscript"/>
    </w:rPr>
  </w:style>
  <w:style w:type="character" w:styleId="646">
    <w:name w:val="footnote reference"/>
    <w:rPr>
      <w:vertAlign w:val="superscript"/>
    </w:rPr>
  </w:style>
  <w:style w:type="character" w:styleId="647">
    <w:name w:val="Endnote Text Char"/>
    <w:uiPriority w:val="99"/>
    <w:qFormat/>
    <w:rPr>
      <w:sz w:val="20"/>
    </w:rPr>
  </w:style>
  <w:style w:type="character" w:styleId="64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49">
    <w:name w:val="endnote reference"/>
    <w:rPr>
      <w:vertAlign w:val="superscript"/>
    </w:rPr>
  </w:style>
  <w:style w:type="character" w:styleId="650">
    <w:name w:val="Основной шрифт абзаца"/>
    <w:semiHidden/>
    <w:qFormat/>
  </w:style>
  <w:style w:type="character" w:styleId="651">
    <w:name w:val="Текст выноски Знак"/>
    <w:qFormat/>
    <w:rPr>
      <w:rFonts w:ascii="Tahoma" w:hAnsi="Tahoma" w:cs="Tahoma"/>
      <w:sz w:val="16"/>
      <w:szCs w:val="16"/>
    </w:rPr>
  </w:style>
  <w:style w:type="character" w:styleId="652">
    <w:name w:val="Верхний колонтитул Знак"/>
    <w:qFormat/>
    <w:rPr>
      <w:rFonts w:ascii="Arial" w:hAnsi="Arial" w:cs="Arial"/>
      <w:sz w:val="18"/>
      <w:szCs w:val="18"/>
    </w:rPr>
  </w:style>
  <w:style w:type="character" w:styleId="653">
    <w:name w:val="Нижний колонтитул Знак"/>
    <w:qFormat/>
    <w:rPr>
      <w:rFonts w:ascii="Arial" w:hAnsi="Arial" w:cs="Arial"/>
      <w:sz w:val="18"/>
      <w:szCs w:val="18"/>
    </w:rPr>
  </w:style>
  <w:style w:type="character" w:styleId="654">
    <w:name w:val="Заголовок 5 Знак"/>
    <w:semiHidden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55">
    <w:name w:val="Гиперссылка"/>
    <w:qFormat/>
    <w:rPr>
      <w:color w:val="0563c1"/>
      <w:u w:val="single"/>
    </w:rPr>
  </w:style>
  <w:style w:type="character" w:styleId="656">
    <w:name w:val="extended-text__short"/>
    <w:qFormat/>
  </w:style>
  <w:style w:type="character" w:styleId="657">
    <w:name w:val="apple-converted-space"/>
    <w:qFormat/>
  </w:style>
  <w:style w:type="character" w:styleId="658">
    <w:name w:val="msg-body-block"/>
    <w:qFormat/>
  </w:style>
  <w:style w:type="character" w:styleId="659" w:default="1">
    <w:name w:val="Default Paragraph Font"/>
    <w:uiPriority w:val="1"/>
    <w:semiHidden/>
    <w:unhideWhenUsed/>
    <w:qFormat/>
  </w:style>
  <w:style w:type="paragraph" w:styleId="660">
    <w:name w:val="Заголовок"/>
    <w:basedOn w:val="617"/>
    <w:next w:val="66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61">
    <w:name w:val="Body Text"/>
    <w:basedOn w:val="617"/>
    <w:pPr>
      <w:spacing w:before="0" w:after="140" w:line="276" w:lineRule="auto"/>
    </w:pPr>
  </w:style>
  <w:style w:type="paragraph" w:styleId="662">
    <w:name w:val="List"/>
    <w:basedOn w:val="661"/>
    <w:rPr>
      <w:rFonts w:cs="Mangal"/>
    </w:rPr>
  </w:style>
  <w:style w:type="paragraph" w:styleId="663">
    <w:name w:val="Caption"/>
    <w:basedOn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64">
    <w:name w:val="Указатель"/>
    <w:basedOn w:val="617"/>
    <w:qFormat/>
    <w:pPr>
      <w:suppressLineNumbers/>
    </w:pPr>
    <w:rPr>
      <w:rFonts w:cs="Mangal"/>
    </w:rPr>
  </w:style>
  <w:style w:type="paragraph" w:styleId="665">
    <w:name w:val="List Paragraph"/>
    <w:basedOn w:val="617"/>
    <w:uiPriority w:val="34"/>
    <w:qFormat/>
    <w:pPr>
      <w:contextualSpacing/>
      <w:ind w:left="720" w:firstLine="0"/>
      <w:spacing w:before="0" w:after="0"/>
    </w:pPr>
  </w:style>
  <w:style w:type="paragraph" w:styleId="666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NSimSun" w:cs="Mangal"/>
      <w:color w:val="auto"/>
      <w:sz w:val="20"/>
      <w:szCs w:val="20"/>
      <w:lang w:val="ru-RU" w:eastAsia="zh-CN" w:bidi="ar-SA"/>
    </w:rPr>
  </w:style>
  <w:style w:type="paragraph" w:styleId="667">
    <w:name w:val="Title"/>
    <w:basedOn w:val="61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8">
    <w:name w:val="Subtitle"/>
    <w:basedOn w:val="617"/>
    <w:uiPriority w:val="11"/>
    <w:qFormat/>
    <w:pPr>
      <w:spacing w:before="200" w:after="200"/>
    </w:pPr>
    <w:rPr>
      <w:sz w:val="24"/>
      <w:szCs w:val="24"/>
    </w:rPr>
  </w:style>
  <w:style w:type="paragraph" w:styleId="669">
    <w:name w:val="Quote"/>
    <w:basedOn w:val="617"/>
    <w:uiPriority w:val="29"/>
    <w:qFormat/>
    <w:pPr>
      <w:ind w:left="720" w:right="720" w:firstLine="0"/>
    </w:pPr>
    <w:rPr>
      <w:i/>
    </w:rPr>
  </w:style>
  <w:style w:type="paragraph" w:styleId="670">
    <w:name w:val="Intense Quote"/>
    <w:basedOn w:val="617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71">
    <w:name w:val="Колонтитул"/>
    <w:basedOn w:val="617"/>
    <w:qFormat/>
  </w:style>
  <w:style w:type="paragraph" w:styleId="672">
    <w:name w:val="Header"/>
    <w:basedOn w:val="617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3">
    <w:name w:val="Footer"/>
    <w:basedOn w:val="617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4">
    <w:name w:val="footnote text"/>
    <w:basedOn w:val="61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75">
    <w:name w:val="endnote text"/>
    <w:basedOn w:val="61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76">
    <w:name w:val="toc 1"/>
    <w:basedOn w:val="617"/>
    <w:uiPriority w:val="39"/>
    <w:unhideWhenUsed/>
    <w:pPr>
      <w:ind w:left="0" w:right="0" w:firstLine="0"/>
      <w:spacing w:before="0" w:after="57"/>
    </w:pPr>
  </w:style>
  <w:style w:type="paragraph" w:styleId="677">
    <w:name w:val="toc 2"/>
    <w:basedOn w:val="617"/>
    <w:uiPriority w:val="39"/>
    <w:unhideWhenUsed/>
    <w:pPr>
      <w:ind w:left="283" w:right="0" w:firstLine="0"/>
      <w:spacing w:before="0" w:after="57"/>
    </w:pPr>
  </w:style>
  <w:style w:type="paragraph" w:styleId="678">
    <w:name w:val="toc 3"/>
    <w:basedOn w:val="617"/>
    <w:uiPriority w:val="39"/>
    <w:unhideWhenUsed/>
    <w:pPr>
      <w:ind w:left="567" w:right="0" w:firstLine="0"/>
      <w:spacing w:before="0" w:after="57"/>
    </w:pPr>
  </w:style>
  <w:style w:type="paragraph" w:styleId="679">
    <w:name w:val="toc 4"/>
    <w:basedOn w:val="617"/>
    <w:uiPriority w:val="39"/>
    <w:unhideWhenUsed/>
    <w:pPr>
      <w:ind w:left="850" w:right="0" w:firstLine="0"/>
      <w:spacing w:before="0" w:after="57"/>
    </w:pPr>
  </w:style>
  <w:style w:type="paragraph" w:styleId="680">
    <w:name w:val="toc 5"/>
    <w:basedOn w:val="617"/>
    <w:uiPriority w:val="39"/>
    <w:unhideWhenUsed/>
    <w:pPr>
      <w:ind w:left="1134" w:right="0" w:firstLine="0"/>
      <w:spacing w:before="0" w:after="57"/>
    </w:pPr>
  </w:style>
  <w:style w:type="paragraph" w:styleId="681">
    <w:name w:val="toc 6"/>
    <w:basedOn w:val="617"/>
    <w:uiPriority w:val="39"/>
    <w:unhideWhenUsed/>
    <w:pPr>
      <w:ind w:left="1417" w:right="0" w:firstLine="0"/>
      <w:spacing w:before="0" w:after="57"/>
    </w:pPr>
  </w:style>
  <w:style w:type="paragraph" w:styleId="682">
    <w:name w:val="toc 7"/>
    <w:basedOn w:val="617"/>
    <w:uiPriority w:val="39"/>
    <w:unhideWhenUsed/>
    <w:pPr>
      <w:ind w:left="1701" w:right="0" w:firstLine="0"/>
      <w:spacing w:before="0" w:after="57"/>
    </w:pPr>
  </w:style>
  <w:style w:type="paragraph" w:styleId="683">
    <w:name w:val="toc 8"/>
    <w:basedOn w:val="617"/>
    <w:uiPriority w:val="39"/>
    <w:unhideWhenUsed/>
    <w:pPr>
      <w:ind w:left="1984" w:right="0" w:firstLine="0"/>
      <w:spacing w:before="0" w:after="57"/>
    </w:pPr>
  </w:style>
  <w:style w:type="paragraph" w:styleId="684">
    <w:name w:val="toc 9"/>
    <w:basedOn w:val="617"/>
    <w:uiPriority w:val="39"/>
    <w:unhideWhenUsed/>
    <w:pPr>
      <w:ind w:left="2268" w:right="0" w:firstLine="0"/>
      <w:spacing w:before="0" w:after="57"/>
    </w:pPr>
  </w:style>
  <w:style w:type="paragraph" w:styleId="685">
    <w:name w:val="Index Heading"/>
    <w:basedOn w:val="660"/>
  </w:style>
  <w:style w:type="paragraph" w:styleId="686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NSimSun" w:cs="Mangal"/>
      <w:color w:val="auto"/>
      <w:sz w:val="20"/>
      <w:szCs w:val="20"/>
      <w:lang w:val="ru-RU" w:eastAsia="zh-CN" w:bidi="ar-SA"/>
    </w:rPr>
  </w:style>
  <w:style w:type="paragraph" w:styleId="687">
    <w:name w:val="table of figures"/>
    <w:basedOn w:val="617"/>
    <w:uiPriority w:val="99"/>
    <w:unhideWhenUsed/>
    <w:qFormat/>
    <w:pPr>
      <w:spacing w:before="0" w:after="0" w:afterAutospacing="0"/>
    </w:pPr>
  </w:style>
  <w:style w:type="paragraph" w:styleId="688">
    <w:name w:val="Standard"/>
    <w:qFormat/>
    <w:pPr>
      <w:jc w:val="left"/>
      <w:spacing w:before="0" w:after="0"/>
      <w:widowControl w:val="off"/>
    </w:pPr>
    <w:rPr>
      <w:rFonts w:ascii="Times New Roman" w:hAnsi="Times New Roman" w:eastAsia="Lucida Sans Unicode" w:cs="Tahoma"/>
      <w:color w:val="auto"/>
      <w:sz w:val="21"/>
      <w:szCs w:val="24"/>
      <w:lang w:val="ru-RU" w:eastAsia="ru-RU" w:bidi="ar-SA"/>
    </w:rPr>
  </w:style>
  <w:style w:type="paragraph" w:styleId="689">
    <w:name w:val="Текст выноски"/>
    <w:basedOn w:val="617"/>
    <w:qFormat/>
    <w:rPr>
      <w:rFonts w:ascii="Tahoma" w:hAnsi="Tahoma" w:cs="Tahoma"/>
      <w:sz w:val="16"/>
      <w:szCs w:val="16"/>
    </w:rPr>
  </w:style>
  <w:style w:type="paragraph" w:styleId="690">
    <w:name w:val="ConsPlusNormal"/>
    <w:qFormat/>
    <w:pPr>
      <w:jc w:val="left"/>
      <w:spacing w:before="0" w:after="0"/>
      <w:widowControl/>
    </w:pPr>
    <w:rPr>
      <w:rFonts w:ascii="Times New Roman" w:hAnsi="Times New Roman" w:eastAsia="Calibri" w:cs="Mangal"/>
      <w:color w:val="auto"/>
      <w:sz w:val="26"/>
      <w:szCs w:val="26"/>
      <w:lang w:val="ru-RU" w:eastAsia="ru-RU" w:bidi="ar-SA"/>
    </w:rPr>
  </w:style>
  <w:style w:type="paragraph" w:styleId="691" w:customStyle="1">
    <w:name w:val="Body Text Indent"/>
    <w:unhideWhenUsed/>
    <w:pPr>
      <w:ind w:left="0" w:right="0" w:firstLine="426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u w:val="none"/>
      <w:vertAlign w:val="baseline"/>
      <w:lang w:val="ru-RU" w:eastAsia="ru-RU" w:bidi="ar-SA"/>
      <w14:ligatures w14:val="none"/>
    </w:rPr>
  </w:style>
  <w:style w:type="numbering" w:styleId="692">
    <w:name w:val="Нет списка"/>
    <w:semiHidden/>
    <w:qFormat/>
  </w:style>
  <w:style w:type="numbering" w:styleId="693" w:default="1">
    <w:name w:val="No List"/>
    <w:uiPriority w:val="99"/>
    <w:semiHidden/>
    <w:unhideWhenUsed/>
    <w:qFormat/>
  </w:style>
  <w:style w:type="table" w:styleId="694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cPr>
        <w:shd w:val="clear" w:color="ffffff" w:fill="f2dcdb" w:themeFill="accent2" w:themeFillTint="32"/>
      </w:tcPr>
    </w:tblStylePr>
    <w:tblStylePr w:type="band1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cPr>
        <w:shd w:val="clear" w:color="ffffff" w:fill="eaf0dd" w:themeFill="accent3" w:themeFillTint="34"/>
      </w:tcPr>
    </w:tblStylePr>
    <w:tblStylePr w:type="band1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cPr>
        <w:shd w:val="clear" w:color="ffffff" w:fill="f2dcdb" w:themeFill="accent2" w:themeFillTint="32"/>
      </w:tcPr>
    </w:tblStylePr>
    <w:tblStylePr w:type="band1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cPr>
        <w:shd w:val="clear" w:color="ffffff" w:fill="eaf0dd" w:themeFill="accent3" w:themeFillTint="34"/>
      </w:tcPr>
    </w:tblStylePr>
    <w:tblStylePr w:type="band1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ce6f1" w:themeFill="accent1" w:themeFillTint="32"/>
      </w:tcPr>
    </w:tblStylePr>
    <w:tblStylePr w:type="band1Vert">
      <w:rPr>
        <w:sz w:val="22"/>
      </w:rPr>
      <w:tcPr>
        <w:shd w:val="clear" w:color="ffffff" w:fill="dce6f1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dc2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1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f2dcdb" w:themeFill="accent2" w:themeFillTint="32"/>
      </w:tcPr>
    </w:tblStylePr>
    <w:tblStylePr w:type="band1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4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2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af0dd" w:themeFill="accent3" w:themeFillTint="34"/>
      </w:tcPr>
    </w:tblStylePr>
    <w:tblStylePr w:type="band1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a59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3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4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dc5e0" w:themeFill="accent1" w:themeFillTint="75"/>
      </w:tcPr>
    </w:tblStylePr>
    <w:tblStylePr w:type="band1Vert">
      <w:tcPr>
        <w:shd w:val="clear" w:color="ffffff" w:fill="adc5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e1adac" w:themeFill="accent2" w:themeFillTint="75"/>
      </w:tcPr>
    </w:tblStylePr>
    <w:tblStylePr w:type="band1Vert">
      <w:tcPr>
        <w:shd w:val="clear" w:color="ffffff" w:fill="e1adac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1dfb2" w:themeFill="accent3" w:themeFillTint="75"/>
      </w:tcPr>
    </w:tblStylePr>
    <w:tblStylePr w:type="band1Vert">
      <w:tcPr>
        <w:shd w:val="clear" w:color="ffffff" w:fill="d1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bd9e4" w:themeFill="accent5" w:themeFillTint="75"/>
      </w:tcPr>
    </w:tblStylePr>
    <w:tblStylePr w:type="band1Vert">
      <w:tcPr>
        <w:shd w:val="clear" w:color="ffffff" w:fill="abd9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bcda8" w:themeFill="accent6" w:themeFillTint="75"/>
      </w:tcPr>
    </w:tblStylePr>
    <w:tblStylePr w:type="band1Vert">
      <w:tcPr>
        <w:shd w:val="clear" w:color="ffffff" w:fill="fbcda8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a4a4a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3e70a3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5c702f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266777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266777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3e0ee" w:themeFill="accent1" w:themeFillTint="40"/>
      </w:tcPr>
    </w:tblStylePr>
    <w:tblStylePr w:type="band1Vert">
      <w:rPr>
        <w:sz w:val="22"/>
      </w:rPr>
      <w:tcPr>
        <w:shd w:val="clear" w:color="ffffff" w:fill="d3e0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efd3d2" w:themeFill="accent2" w:themeFillTint="40"/>
      </w:tcPr>
    </w:tblStylePr>
    <w:tblStylePr w:type="band1Vert">
      <w:rPr>
        <w:sz w:val="22"/>
      </w:rPr>
      <w:tcPr>
        <w:shd w:val="clear" w:color="ffffff" w:fill="efd3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6eed5" w:themeFill="accent3" w:themeFillTint="40"/>
      </w:tcPr>
    </w:tblStylePr>
    <w:tblStylePr w:type="band1Vert">
      <w:rPr>
        <w:sz w:val="22"/>
      </w:rPr>
      <w:tcPr>
        <w:shd w:val="clear" w:color="ffffff" w:fill="e6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fce4d1" w:themeFill="accent6" w:themeFillTint="40"/>
      </w:tcPr>
    </w:tblStylePr>
    <w:tblStylePr w:type="band1Vert">
      <w:rPr>
        <w:sz w:val="22"/>
      </w:rPr>
      <w:tcPr>
        <w:shd w:val="clear" w:color="ffffff" w:fill="fce4d1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4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1cd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9bf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3e0ee" w:themeFill="accent1" w:themeFillTint="40"/>
      </w:tcPr>
    </w:tblStylePr>
    <w:tblStylePr w:type="band1Vert">
      <w:rPr>
        <w:sz w:val="22"/>
      </w:rPr>
      <w:tcPr>
        <w:shd w:val="clear" w:color="ffffff" w:fill="d3e0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efd3d2" w:themeFill="accent2" w:themeFillTint="40"/>
      </w:tcPr>
    </w:tblStylePr>
    <w:tblStylePr w:type="band1Vert">
      <w:rPr>
        <w:sz w:val="22"/>
      </w:rPr>
      <w:tcPr>
        <w:shd w:val="clear" w:color="ffffff" w:fill="efd3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6eed5" w:themeFill="accent3" w:themeFillTint="40"/>
      </w:tcPr>
    </w:tblStylePr>
    <w:tblStylePr w:type="band1Vert">
      <w:rPr>
        <w:sz w:val="22"/>
      </w:rPr>
      <w:tcPr>
        <w:shd w:val="clear" w:color="ffffff" w:fill="e6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fce4d1" w:themeFill="accent6" w:themeFillTint="40"/>
      </w:tcPr>
    </w:tblStylePr>
    <w:tblStylePr w:type="band1Vert">
      <w:rPr>
        <w:sz w:val="22"/>
      </w:rPr>
      <w:tcPr>
        <w:shd w:val="clear" w:color="ffffff" w:fill="fce4d1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4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1cddc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9bf90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f2f2" w:themeFill="text1" w:themeFillTint="00"/>
      </w:tcPr>
    </w:tblStylePr>
    <w:tblStylePr w:type="band2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dc2" w:themeFill="accent1" w:themeFillTint="EA"/>
      </w:tcPr>
    </w:tblStylePr>
    <w:tblStylePr w:type="firstRow">
      <w:rPr>
        <w:sz w:val="22"/>
      </w:rPr>
      <w:tcPr>
        <w:shd w:val="clear" w:color="ffffff" w:fill="5d8dc2" w:themeFill="accent1" w:themeFillTint="EA"/>
      </w:tcPr>
    </w:tblStylePr>
    <w:tblStylePr w:type="lastCol">
      <w:rPr>
        <w:sz w:val="22"/>
      </w:rPr>
      <w:tcPr>
        <w:shd w:val="clear" w:color="ffffff" w:fill="5d8dc2" w:themeFill="accent1" w:themeFillTint="EA"/>
      </w:tcPr>
    </w:tblStylePr>
    <w:tblStylePr w:type="lastRow">
      <w:rPr>
        <w:sz w:val="22"/>
      </w:rPr>
      <w:tcPr>
        <w:shd w:val="clear" w:color="ffffff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b" w:themeFill="accent2" w:themeFillTint="32"/>
      </w:tcPr>
    </w:tblStylePr>
    <w:tblStylePr w:type="band2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sz w:val="22"/>
      </w:rPr>
      <w:tcPr>
        <w:shd w:val="clear" w:color="ffffff" w:fill="d99694" w:themeFill="accent2" w:themeFillTint="97"/>
      </w:tcPr>
    </w:tblStylePr>
    <w:tblStylePr w:type="firstRow">
      <w:rPr>
        <w:sz w:val="22"/>
      </w:rPr>
      <w:tcPr>
        <w:shd w:val="clear" w:color="ffffff" w:fill="d99694" w:themeFill="accent2" w:themeFillTint="97"/>
      </w:tcPr>
    </w:tblStylePr>
    <w:tblStylePr w:type="lastCol">
      <w:rPr>
        <w:sz w:val="22"/>
      </w:rPr>
      <w:tcPr>
        <w:shd w:val="clear" w:color="ffffff" w:fill="d99694" w:themeFill="accent2" w:themeFillTint="97"/>
      </w:tcPr>
    </w:tblStylePr>
    <w:tblStylePr w:type="lastRow">
      <w:rPr>
        <w:sz w:val="22"/>
      </w:rPr>
      <w:tcPr>
        <w:shd w:val="clear" w:color="ffffff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0dd" w:themeFill="accent3" w:themeFillTint="34"/>
      </w:tcPr>
    </w:tblStylePr>
    <w:tblStylePr w:type="band2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sz w:val="22"/>
      </w:rPr>
      <w:tcPr>
        <w:shd w:val="clear" w:color="ffffff" w:fill="9bba59" w:themeFill="accent3" w:themeFillTint="FE"/>
      </w:tcPr>
    </w:tblStylePr>
    <w:tblStylePr w:type="firstRow">
      <w:rPr>
        <w:sz w:val="22"/>
      </w:rPr>
      <w:tcPr>
        <w:shd w:val="clear" w:color="ffffff" w:fill="9bba59" w:themeFill="accent3" w:themeFillTint="FE"/>
      </w:tcPr>
    </w:tblStylePr>
    <w:tblStylePr w:type="lastCol">
      <w:rPr>
        <w:sz w:val="22"/>
      </w:rPr>
      <w:tcPr>
        <w:shd w:val="clear" w:color="ffffff" w:fill="9bba59" w:themeFill="accent3" w:themeFillTint="FE"/>
      </w:tcPr>
    </w:tblStylePr>
    <w:tblStylePr w:type="lastRow">
      <w:rPr>
        <w:sz w:val="22"/>
      </w:rPr>
      <w:tcPr>
        <w:shd w:val="clear" w:color="ffffff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f2f2" w:themeFill="text1" w:themeFillTint="00"/>
      </w:tcPr>
    </w:tblStylePr>
    <w:tblStylePr w:type="band2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dc2" w:themeFill="accent1" w:themeFillTint="EA"/>
      </w:tcPr>
    </w:tblStylePr>
    <w:tblStylePr w:type="firstRow">
      <w:rPr>
        <w:sz w:val="22"/>
      </w:rPr>
      <w:tcPr>
        <w:shd w:val="clear" w:color="ffffff" w:fill="5d8dc2" w:themeFill="accent1" w:themeFillTint="EA"/>
      </w:tcPr>
    </w:tblStylePr>
    <w:tblStylePr w:type="lastCol">
      <w:rPr>
        <w:sz w:val="22"/>
      </w:rPr>
      <w:tcPr>
        <w:shd w:val="clear" w:color="ffffff" w:fill="5d8dc2" w:themeFill="accent1" w:themeFillTint="EA"/>
      </w:tcPr>
    </w:tblStylePr>
    <w:tblStylePr w:type="lastRow">
      <w:rPr>
        <w:sz w:val="22"/>
      </w:rPr>
      <w:tcPr>
        <w:shd w:val="clear" w:color="ffffff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b" w:themeFill="accent2" w:themeFillTint="32"/>
      </w:tcPr>
    </w:tblStylePr>
    <w:tblStylePr w:type="band2Vert">
      <w:rPr>
        <w:sz w:val="22"/>
      </w:rPr>
      <w:tcPr>
        <w:shd w:val="clear" w:color="ffffff" w:fill="f2dcdb" w:themeFill="accent2" w:themeFillTint="32"/>
      </w:tcPr>
    </w:tblStylePr>
    <w:tblStylePr w:type="firstCol">
      <w:rPr>
        <w:sz w:val="22"/>
      </w:rPr>
      <w:tcPr>
        <w:shd w:val="clear" w:color="ffffff" w:fill="d99694" w:themeFill="accent2" w:themeFillTint="97"/>
      </w:tcPr>
    </w:tblStylePr>
    <w:tblStylePr w:type="firstRow">
      <w:rPr>
        <w:sz w:val="22"/>
      </w:rPr>
      <w:tcPr>
        <w:shd w:val="clear" w:color="ffffff" w:fill="d99694" w:themeFill="accent2" w:themeFillTint="97"/>
      </w:tcPr>
    </w:tblStylePr>
    <w:tblStylePr w:type="lastCol">
      <w:rPr>
        <w:sz w:val="22"/>
      </w:rPr>
      <w:tcPr>
        <w:shd w:val="clear" w:color="ffffff" w:fill="d99694" w:themeFill="accent2" w:themeFillTint="97"/>
      </w:tcPr>
    </w:tblStylePr>
    <w:tblStylePr w:type="lastRow">
      <w:rPr>
        <w:sz w:val="22"/>
      </w:rPr>
      <w:tcPr>
        <w:shd w:val="clear" w:color="ffffff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0dd" w:themeFill="accent3" w:themeFillTint="34"/>
      </w:tcPr>
    </w:tblStylePr>
    <w:tblStylePr w:type="band2Vert">
      <w:rPr>
        <w:sz w:val="22"/>
      </w:rPr>
      <w:tcPr>
        <w:shd w:val="clear" w:color="ffffff" w:fill="eaf0dd" w:themeFill="accent3" w:themeFillTint="34"/>
      </w:tcPr>
    </w:tblStylePr>
    <w:tblStylePr w:type="firstCol">
      <w:rPr>
        <w:sz w:val="22"/>
      </w:rPr>
      <w:tcPr>
        <w:shd w:val="clear" w:color="ffffff" w:fill="9bba59" w:themeFill="accent3" w:themeFillTint="FE"/>
      </w:tcPr>
    </w:tblStylePr>
    <w:tblStylePr w:type="firstRow">
      <w:rPr>
        <w:sz w:val="22"/>
      </w:rPr>
      <w:tcPr>
        <w:shd w:val="clear" w:color="ffffff" w:fill="9bba59" w:themeFill="accent3" w:themeFillTint="FE"/>
      </w:tcPr>
    </w:tblStylePr>
    <w:tblStylePr w:type="lastCol">
      <w:rPr>
        <w:sz w:val="22"/>
      </w:rPr>
      <w:tcPr>
        <w:shd w:val="clear" w:color="ffffff" w:fill="9bba59" w:themeFill="accent3" w:themeFillTint="FE"/>
      </w:tcPr>
    </w:tblStylePr>
    <w:tblStylePr w:type="lastRow">
      <w:rPr>
        <w:sz w:val="22"/>
      </w:rPr>
      <w:tcPr>
        <w:shd w:val="clear" w:color="ffffff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/>
        <a:ln w="25400"/>
        <a:ln w="38100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ADM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Грибанова К Е</dc:creator>
  <dc:description/>
  <dc:language>ru-RU</dc:language>
  <cp:revision>145</cp:revision>
  <dcterms:created xsi:type="dcterms:W3CDTF">2023-02-17T13:39:00Z</dcterms:created>
  <dcterms:modified xsi:type="dcterms:W3CDTF">2024-06-14T13:10:48Z</dcterms:modified>
  <cp:version>1048576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